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45B0" w:rsidRPr="004A4F6F" w:rsidRDefault="004A4F6F" w:rsidP="009945B0">
      <w:pPr>
        <w:rPr>
          <w:b/>
          <w:sz w:val="28"/>
          <w:szCs w:val="28"/>
        </w:rPr>
      </w:pPr>
      <w:proofErr w:type="spellStart"/>
      <w:r w:rsidRPr="004A4F6F">
        <w:rPr>
          <w:b/>
          <w:sz w:val="28"/>
          <w:szCs w:val="28"/>
        </w:rPr>
        <w:t>Προεγχειρητική</w:t>
      </w:r>
      <w:proofErr w:type="spellEnd"/>
      <w:r w:rsidRPr="004A4F6F">
        <w:rPr>
          <w:b/>
          <w:sz w:val="28"/>
          <w:szCs w:val="28"/>
        </w:rPr>
        <w:t xml:space="preserve"> </w:t>
      </w:r>
      <w:proofErr w:type="spellStart"/>
      <w:r w:rsidRPr="004A4F6F">
        <w:rPr>
          <w:b/>
          <w:sz w:val="28"/>
          <w:szCs w:val="28"/>
        </w:rPr>
        <w:t>αντιμικροβιακή</w:t>
      </w:r>
      <w:proofErr w:type="spellEnd"/>
      <w:r w:rsidRPr="004A4F6F">
        <w:rPr>
          <w:b/>
          <w:sz w:val="28"/>
          <w:szCs w:val="28"/>
        </w:rPr>
        <w:t xml:space="preserve"> αγωγή </w:t>
      </w:r>
    </w:p>
    <w:p w:rsidR="009945B0" w:rsidRPr="009945B0" w:rsidRDefault="009945B0" w:rsidP="009945B0"/>
    <w:p w:rsidR="009945B0" w:rsidRPr="00F85320" w:rsidRDefault="00A60D19" w:rsidP="009945B0">
      <w:pPr>
        <w:jc w:val="both"/>
        <w:rPr>
          <w:b/>
        </w:rPr>
      </w:pPr>
      <w:r w:rsidRPr="00705BBC">
        <w:rPr>
          <w:b/>
        </w:rPr>
        <w:t xml:space="preserve">Έναρξη χορήγησης </w:t>
      </w:r>
      <w:proofErr w:type="spellStart"/>
      <w:r w:rsidRPr="00705BBC">
        <w:rPr>
          <w:b/>
        </w:rPr>
        <w:t>αντιμικροβιακ</w:t>
      </w:r>
      <w:r>
        <w:rPr>
          <w:b/>
        </w:rPr>
        <w:t>ή</w:t>
      </w:r>
      <w:r w:rsidRPr="00705BBC">
        <w:rPr>
          <w:b/>
        </w:rPr>
        <w:t>ς</w:t>
      </w:r>
      <w:proofErr w:type="spellEnd"/>
      <w:r w:rsidRPr="00705BBC">
        <w:rPr>
          <w:b/>
        </w:rPr>
        <w:t xml:space="preserve"> θεραπείας</w:t>
      </w:r>
    </w:p>
    <w:p w:rsidR="00991948" w:rsidRDefault="00991948" w:rsidP="009945B0">
      <w:pPr>
        <w:pStyle w:val="a4"/>
        <w:numPr>
          <w:ilvl w:val="0"/>
          <w:numId w:val="5"/>
        </w:numPr>
        <w:ind w:left="426" w:hanging="426"/>
        <w:jc w:val="both"/>
        <w:rPr>
          <w:rFonts w:ascii="Times New Roman" w:hAnsi="Times New Roman"/>
          <w:sz w:val="24"/>
          <w:szCs w:val="24"/>
        </w:rPr>
      </w:pPr>
      <w:r>
        <w:rPr>
          <w:rFonts w:ascii="Times New Roman" w:hAnsi="Times New Roman"/>
          <w:sz w:val="24"/>
          <w:szCs w:val="24"/>
        </w:rPr>
        <w:t>Δ</w:t>
      </w:r>
      <w:r w:rsidR="009945B0" w:rsidRPr="00705BBC">
        <w:rPr>
          <w:rFonts w:ascii="Times New Roman" w:hAnsi="Times New Roman"/>
          <w:sz w:val="24"/>
          <w:szCs w:val="24"/>
        </w:rPr>
        <w:t xml:space="preserve">ιάγνωση ή την βάσιμη υποψία της </w:t>
      </w:r>
      <w:proofErr w:type="spellStart"/>
      <w:r w:rsidR="009945B0" w:rsidRPr="00705BBC">
        <w:rPr>
          <w:rFonts w:ascii="Times New Roman" w:hAnsi="Times New Roman"/>
          <w:sz w:val="24"/>
          <w:szCs w:val="24"/>
        </w:rPr>
        <w:t>ενδοκοιλιακής</w:t>
      </w:r>
      <w:proofErr w:type="spellEnd"/>
      <w:r w:rsidR="009945B0" w:rsidRPr="00705BBC">
        <w:rPr>
          <w:rFonts w:ascii="Times New Roman" w:hAnsi="Times New Roman"/>
          <w:sz w:val="24"/>
          <w:szCs w:val="24"/>
        </w:rPr>
        <w:t xml:space="preserve"> λοίμωξης. </w:t>
      </w:r>
    </w:p>
    <w:p w:rsidR="009945B0" w:rsidRPr="00705BBC" w:rsidRDefault="009945B0" w:rsidP="009945B0">
      <w:pPr>
        <w:pStyle w:val="a4"/>
        <w:numPr>
          <w:ilvl w:val="0"/>
          <w:numId w:val="5"/>
        </w:numPr>
        <w:ind w:left="426" w:hanging="426"/>
        <w:jc w:val="both"/>
        <w:rPr>
          <w:rFonts w:ascii="Times New Roman" w:hAnsi="Times New Roman"/>
          <w:sz w:val="24"/>
          <w:szCs w:val="24"/>
        </w:rPr>
      </w:pPr>
      <w:r w:rsidRPr="00705BBC">
        <w:rPr>
          <w:rFonts w:ascii="Times New Roman" w:hAnsi="Times New Roman"/>
          <w:sz w:val="24"/>
          <w:szCs w:val="24"/>
        </w:rPr>
        <w:t xml:space="preserve">Αν ο ασθενής εμφανίζει σηπτικό </w:t>
      </w:r>
      <w:r w:rsidRPr="00705BBC">
        <w:rPr>
          <w:rFonts w:ascii="Times New Roman" w:hAnsi="Times New Roman"/>
          <w:sz w:val="24"/>
          <w:szCs w:val="24"/>
          <w:lang w:val="en-US"/>
        </w:rPr>
        <w:t>shock</w:t>
      </w:r>
      <w:r w:rsidRPr="00705BBC">
        <w:rPr>
          <w:rFonts w:ascii="Times New Roman" w:hAnsi="Times New Roman"/>
          <w:sz w:val="24"/>
          <w:szCs w:val="24"/>
        </w:rPr>
        <w:t xml:space="preserve">, η έναρξη της </w:t>
      </w:r>
      <w:proofErr w:type="spellStart"/>
      <w:r w:rsidRPr="00705BBC">
        <w:rPr>
          <w:rFonts w:ascii="Times New Roman" w:hAnsi="Times New Roman"/>
          <w:sz w:val="24"/>
          <w:szCs w:val="24"/>
        </w:rPr>
        <w:t>αντιμικροβιακής</w:t>
      </w:r>
      <w:proofErr w:type="spellEnd"/>
      <w:r w:rsidRPr="00705BBC">
        <w:rPr>
          <w:rFonts w:ascii="Times New Roman" w:hAnsi="Times New Roman"/>
          <w:sz w:val="24"/>
          <w:szCs w:val="24"/>
        </w:rPr>
        <w:t xml:space="preserve"> θερα</w:t>
      </w:r>
      <w:r w:rsidR="00F85320">
        <w:rPr>
          <w:rFonts w:ascii="Times New Roman" w:hAnsi="Times New Roman"/>
          <w:sz w:val="24"/>
          <w:szCs w:val="24"/>
        </w:rPr>
        <w:t>πείας θα πρέπει να είναι άμεση .</w:t>
      </w:r>
    </w:p>
    <w:p w:rsidR="009945B0" w:rsidRPr="00705BBC" w:rsidRDefault="00F85320" w:rsidP="009945B0">
      <w:pPr>
        <w:pStyle w:val="a4"/>
        <w:numPr>
          <w:ilvl w:val="0"/>
          <w:numId w:val="5"/>
        </w:numPr>
        <w:ind w:left="426" w:hanging="426"/>
        <w:jc w:val="both"/>
        <w:rPr>
          <w:rFonts w:ascii="Times New Roman" w:hAnsi="Times New Roman"/>
          <w:sz w:val="24"/>
          <w:szCs w:val="24"/>
        </w:rPr>
      </w:pPr>
      <w:r>
        <w:rPr>
          <w:rFonts w:ascii="Times New Roman" w:hAnsi="Times New Roman"/>
          <w:sz w:val="24"/>
          <w:szCs w:val="24"/>
        </w:rPr>
        <w:t>Η</w:t>
      </w:r>
      <w:r w:rsidR="009945B0" w:rsidRPr="00705BBC">
        <w:rPr>
          <w:rFonts w:ascii="Times New Roman" w:hAnsi="Times New Roman"/>
          <w:sz w:val="24"/>
          <w:szCs w:val="24"/>
        </w:rPr>
        <w:t xml:space="preserve"> αντιμικροβιακή θεραπεία θα πρέπει να αρχίζει από το Τμ</w:t>
      </w:r>
      <w:r>
        <w:rPr>
          <w:rFonts w:ascii="Times New Roman" w:hAnsi="Times New Roman"/>
          <w:sz w:val="24"/>
          <w:szCs w:val="24"/>
        </w:rPr>
        <w:t>ήμα Επειγόντων Περιστατικών.</w:t>
      </w:r>
    </w:p>
    <w:p w:rsidR="009945B0" w:rsidRPr="00F85320" w:rsidRDefault="009945B0" w:rsidP="009945B0">
      <w:pPr>
        <w:pStyle w:val="a4"/>
        <w:numPr>
          <w:ilvl w:val="0"/>
          <w:numId w:val="5"/>
        </w:numPr>
        <w:ind w:left="426" w:hanging="426"/>
        <w:jc w:val="both"/>
        <w:rPr>
          <w:rFonts w:ascii="Times New Roman" w:hAnsi="Times New Roman"/>
          <w:sz w:val="24"/>
          <w:szCs w:val="24"/>
        </w:rPr>
      </w:pPr>
      <w:r w:rsidRPr="00705BBC">
        <w:rPr>
          <w:rFonts w:ascii="Times New Roman" w:hAnsi="Times New Roman"/>
          <w:sz w:val="24"/>
          <w:szCs w:val="24"/>
        </w:rPr>
        <w:t xml:space="preserve">Η δοσολογία των αντιμικροβιακών φαρμάκων θα πρέπει να ρυθμίζεται ώστε τα </w:t>
      </w:r>
      <w:proofErr w:type="spellStart"/>
      <w:r w:rsidRPr="00705BBC">
        <w:rPr>
          <w:rFonts w:ascii="Times New Roman" w:hAnsi="Times New Roman"/>
          <w:sz w:val="24"/>
          <w:szCs w:val="24"/>
        </w:rPr>
        <w:t>ιστικά</w:t>
      </w:r>
      <w:proofErr w:type="spellEnd"/>
      <w:r w:rsidRPr="00705BBC">
        <w:rPr>
          <w:rFonts w:ascii="Times New Roman" w:hAnsi="Times New Roman"/>
          <w:sz w:val="24"/>
          <w:szCs w:val="24"/>
        </w:rPr>
        <w:t xml:space="preserve"> επίπεδά τους να διατηρούνται όπως ενδείκνυται καθ όλη τη διάρκεια της θεραπευτικής αντιμετώπισης</w:t>
      </w:r>
      <w:r w:rsidR="00F85320">
        <w:rPr>
          <w:rFonts w:ascii="Times New Roman" w:hAnsi="Times New Roman"/>
          <w:sz w:val="24"/>
          <w:szCs w:val="24"/>
        </w:rPr>
        <w:t>, ακόμη και αν</w:t>
      </w:r>
      <w:r w:rsidRPr="00705BBC">
        <w:rPr>
          <w:rFonts w:ascii="Times New Roman" w:hAnsi="Times New Roman"/>
          <w:sz w:val="24"/>
          <w:szCs w:val="24"/>
        </w:rPr>
        <w:t xml:space="preserve"> απαιτηθεί πρόσθετη δόση αντιβιοτικών πριν από την έναρξη </w:t>
      </w:r>
      <w:r w:rsidR="00F85320">
        <w:rPr>
          <w:rFonts w:ascii="Times New Roman" w:hAnsi="Times New Roman"/>
          <w:sz w:val="24"/>
          <w:szCs w:val="24"/>
        </w:rPr>
        <w:t>της χειρουργικής επέμβασης.</w:t>
      </w:r>
    </w:p>
    <w:p w:rsidR="009945B0" w:rsidRPr="00705BBC" w:rsidRDefault="009945B0" w:rsidP="00F85320">
      <w:pPr>
        <w:rPr>
          <w:b/>
        </w:rPr>
      </w:pPr>
      <w:r w:rsidRPr="00705BBC">
        <w:rPr>
          <w:b/>
        </w:rPr>
        <w:t>ΗΠΙΕΣ ΕΩΣ ΜΕΤΡΙΩΣ ΣΟΒΑΡΕΣ ΕΞΩΝΟΣΟΚΟΜΕΙΑΚΕΣ ΕΝΔΟΚΟΙΛΙΑΚΕΣ ΛΟΙΜΩΞΕΙΣ</w:t>
      </w:r>
    </w:p>
    <w:p w:rsidR="009945B0" w:rsidRPr="00705BBC" w:rsidRDefault="009945B0" w:rsidP="009945B0">
      <w:pPr>
        <w:pStyle w:val="a4"/>
        <w:numPr>
          <w:ilvl w:val="0"/>
          <w:numId w:val="8"/>
        </w:numPr>
        <w:ind w:left="426" w:hanging="426"/>
        <w:jc w:val="both"/>
        <w:rPr>
          <w:rFonts w:ascii="Times New Roman" w:hAnsi="Times New Roman"/>
          <w:sz w:val="24"/>
          <w:szCs w:val="24"/>
        </w:rPr>
      </w:pPr>
      <w:r w:rsidRPr="00705BBC">
        <w:rPr>
          <w:rFonts w:ascii="Times New Roman" w:hAnsi="Times New Roman"/>
          <w:sz w:val="24"/>
          <w:szCs w:val="24"/>
        </w:rPr>
        <w:t xml:space="preserve">Τα αντιβιοτικά που χορηγούνται εμπειρικά για τη θεραπεία των </w:t>
      </w:r>
      <w:proofErr w:type="spellStart"/>
      <w:r w:rsidRPr="00705BBC">
        <w:rPr>
          <w:rFonts w:ascii="Times New Roman" w:hAnsi="Times New Roman"/>
          <w:sz w:val="24"/>
          <w:szCs w:val="24"/>
        </w:rPr>
        <w:t>εξωνοσοκομειακών</w:t>
      </w:r>
      <w:proofErr w:type="spellEnd"/>
      <w:r w:rsidRPr="00705BBC">
        <w:rPr>
          <w:rFonts w:ascii="Times New Roman" w:hAnsi="Times New Roman"/>
          <w:sz w:val="24"/>
          <w:szCs w:val="24"/>
        </w:rPr>
        <w:t xml:space="preserve"> </w:t>
      </w:r>
      <w:proofErr w:type="spellStart"/>
      <w:r w:rsidRPr="00705BBC">
        <w:rPr>
          <w:rFonts w:ascii="Times New Roman" w:hAnsi="Times New Roman"/>
          <w:sz w:val="24"/>
          <w:szCs w:val="24"/>
        </w:rPr>
        <w:t>ενδοκοιλιακών</w:t>
      </w:r>
      <w:proofErr w:type="spellEnd"/>
      <w:r w:rsidRPr="00705BBC">
        <w:rPr>
          <w:rFonts w:ascii="Times New Roman" w:hAnsi="Times New Roman"/>
          <w:sz w:val="24"/>
          <w:szCs w:val="24"/>
        </w:rPr>
        <w:t xml:space="preserve"> λοιμώξεων πρέπει να είναι δραστικά έναντι των εντερικών </w:t>
      </w:r>
      <w:r w:rsidRPr="00705BBC">
        <w:rPr>
          <w:rFonts w:ascii="Times New Roman" w:hAnsi="Times New Roman"/>
          <w:sz w:val="24"/>
          <w:szCs w:val="24"/>
          <w:lang w:val="en-US"/>
        </w:rPr>
        <w:t>Gram</w:t>
      </w:r>
      <w:r w:rsidRPr="00705BBC">
        <w:rPr>
          <w:rFonts w:ascii="Times New Roman" w:hAnsi="Times New Roman"/>
          <w:sz w:val="24"/>
          <w:szCs w:val="24"/>
        </w:rPr>
        <w:t xml:space="preserve">-αρνητικών </w:t>
      </w:r>
      <w:proofErr w:type="spellStart"/>
      <w:r w:rsidRPr="00705BBC">
        <w:rPr>
          <w:rFonts w:ascii="Times New Roman" w:hAnsi="Times New Roman"/>
          <w:sz w:val="24"/>
          <w:szCs w:val="24"/>
        </w:rPr>
        <w:t>αεροβίων</w:t>
      </w:r>
      <w:proofErr w:type="spellEnd"/>
      <w:r w:rsidRPr="00705BBC">
        <w:rPr>
          <w:rFonts w:ascii="Times New Roman" w:hAnsi="Times New Roman"/>
          <w:sz w:val="24"/>
          <w:szCs w:val="24"/>
        </w:rPr>
        <w:t xml:space="preserve"> και των δυνητικά αναεροβίων βακτηριδίων καθώς και έναν</w:t>
      </w:r>
      <w:r w:rsidR="00F85320">
        <w:rPr>
          <w:rFonts w:ascii="Times New Roman" w:hAnsi="Times New Roman"/>
          <w:sz w:val="24"/>
          <w:szCs w:val="24"/>
        </w:rPr>
        <w:t xml:space="preserve">τι των εντερικών </w:t>
      </w:r>
      <w:proofErr w:type="spellStart"/>
      <w:r w:rsidR="00F85320">
        <w:rPr>
          <w:rFonts w:ascii="Times New Roman" w:hAnsi="Times New Roman"/>
          <w:sz w:val="24"/>
          <w:szCs w:val="24"/>
        </w:rPr>
        <w:t>στρεπτοκόκκων</w:t>
      </w:r>
      <w:proofErr w:type="spellEnd"/>
      <w:r w:rsidR="00F85320">
        <w:rPr>
          <w:rFonts w:ascii="Times New Roman" w:hAnsi="Times New Roman"/>
          <w:sz w:val="24"/>
          <w:szCs w:val="24"/>
        </w:rPr>
        <w:t>.</w:t>
      </w:r>
    </w:p>
    <w:p w:rsidR="009945B0" w:rsidRPr="00705BBC" w:rsidRDefault="009945B0" w:rsidP="009945B0">
      <w:pPr>
        <w:pStyle w:val="a4"/>
        <w:numPr>
          <w:ilvl w:val="0"/>
          <w:numId w:val="8"/>
        </w:numPr>
        <w:ind w:left="426" w:hanging="426"/>
        <w:jc w:val="both"/>
        <w:rPr>
          <w:rFonts w:ascii="Times New Roman" w:hAnsi="Times New Roman"/>
          <w:sz w:val="24"/>
          <w:szCs w:val="24"/>
        </w:rPr>
      </w:pPr>
      <w:r w:rsidRPr="00705BBC">
        <w:rPr>
          <w:rFonts w:ascii="Times New Roman" w:hAnsi="Times New Roman"/>
          <w:sz w:val="24"/>
          <w:szCs w:val="24"/>
        </w:rPr>
        <w:t xml:space="preserve">Κάλυψη των υποχρεωτικώς αναεροβίων βακτηριδίων θα πρέπει παρέχεται για τις λοιμώξεις του απώτερου λεπτού εντέρου, της σκωληκοειδούς απόφυσης και του </w:t>
      </w:r>
      <w:proofErr w:type="spellStart"/>
      <w:r w:rsidRPr="00705BBC">
        <w:rPr>
          <w:rFonts w:ascii="Times New Roman" w:hAnsi="Times New Roman"/>
          <w:sz w:val="24"/>
          <w:szCs w:val="24"/>
        </w:rPr>
        <w:t>παχέος</w:t>
      </w:r>
      <w:proofErr w:type="spellEnd"/>
      <w:r w:rsidRPr="00705BBC">
        <w:rPr>
          <w:rFonts w:ascii="Times New Roman" w:hAnsi="Times New Roman"/>
          <w:sz w:val="24"/>
          <w:szCs w:val="24"/>
        </w:rPr>
        <w:t xml:space="preserve"> εντέρου. Επίσης, θα πρέπει να καλύπτονται τα αναερόβια στελέχη όταν η λοίμωξη προέρχεται από διάτρηση του εγγύς τμήματος του γαστρεντερικού σωλήνα αλλά υπάρχει απόφραξη ή παραλυτικός  ειλεός</w:t>
      </w:r>
      <w:r w:rsidR="00F85320">
        <w:rPr>
          <w:rFonts w:ascii="Times New Roman" w:hAnsi="Times New Roman"/>
          <w:sz w:val="24"/>
          <w:szCs w:val="24"/>
        </w:rPr>
        <w:t>.</w:t>
      </w:r>
    </w:p>
    <w:p w:rsidR="009945B0" w:rsidRPr="00705BBC" w:rsidRDefault="009945B0" w:rsidP="009945B0">
      <w:pPr>
        <w:pStyle w:val="a4"/>
        <w:numPr>
          <w:ilvl w:val="0"/>
          <w:numId w:val="8"/>
        </w:numPr>
        <w:ind w:left="426" w:hanging="426"/>
        <w:jc w:val="both"/>
        <w:rPr>
          <w:rFonts w:ascii="Times New Roman" w:hAnsi="Times New Roman"/>
          <w:sz w:val="24"/>
          <w:szCs w:val="24"/>
        </w:rPr>
      </w:pPr>
      <w:r w:rsidRPr="00705BBC">
        <w:rPr>
          <w:rFonts w:ascii="Times New Roman" w:hAnsi="Times New Roman"/>
          <w:sz w:val="24"/>
          <w:szCs w:val="24"/>
        </w:rPr>
        <w:t xml:space="preserve">Οι ενήλικες ασθενείς με ήπια έως μετρίως σοβαρή </w:t>
      </w:r>
      <w:proofErr w:type="spellStart"/>
      <w:r w:rsidRPr="00705BBC">
        <w:rPr>
          <w:rFonts w:ascii="Times New Roman" w:hAnsi="Times New Roman"/>
          <w:sz w:val="24"/>
          <w:szCs w:val="24"/>
        </w:rPr>
        <w:t>εξωνοσοκομειακή</w:t>
      </w:r>
      <w:proofErr w:type="spellEnd"/>
      <w:r w:rsidRPr="00705BBC">
        <w:rPr>
          <w:rFonts w:ascii="Times New Roman" w:hAnsi="Times New Roman"/>
          <w:sz w:val="24"/>
          <w:szCs w:val="24"/>
        </w:rPr>
        <w:t xml:space="preserve"> λοίμωξη μπορούν να λάβουν </w:t>
      </w:r>
      <w:proofErr w:type="spellStart"/>
      <w:r w:rsidRPr="00705BBC">
        <w:rPr>
          <w:rFonts w:ascii="Times New Roman" w:hAnsi="Times New Roman"/>
          <w:sz w:val="24"/>
          <w:szCs w:val="24"/>
        </w:rPr>
        <w:t>τικαρκιλίνη</w:t>
      </w:r>
      <w:proofErr w:type="spellEnd"/>
      <w:r w:rsidRPr="00705BBC">
        <w:rPr>
          <w:rFonts w:ascii="Times New Roman" w:hAnsi="Times New Roman"/>
          <w:sz w:val="24"/>
          <w:szCs w:val="24"/>
        </w:rPr>
        <w:t>/</w:t>
      </w:r>
      <w:proofErr w:type="spellStart"/>
      <w:r w:rsidRPr="00705BBC">
        <w:rPr>
          <w:rFonts w:ascii="Times New Roman" w:hAnsi="Times New Roman"/>
          <w:sz w:val="24"/>
          <w:szCs w:val="24"/>
        </w:rPr>
        <w:t>κλαβουλανικό</w:t>
      </w:r>
      <w:proofErr w:type="spellEnd"/>
      <w:r w:rsidRPr="00705BBC">
        <w:rPr>
          <w:rFonts w:ascii="Times New Roman" w:hAnsi="Times New Roman"/>
          <w:sz w:val="24"/>
          <w:szCs w:val="24"/>
        </w:rPr>
        <w:t xml:space="preserve"> οξύ, </w:t>
      </w:r>
      <w:proofErr w:type="spellStart"/>
      <w:r w:rsidRPr="00705BBC">
        <w:rPr>
          <w:rFonts w:ascii="Times New Roman" w:hAnsi="Times New Roman"/>
          <w:sz w:val="24"/>
          <w:szCs w:val="24"/>
        </w:rPr>
        <w:t>κεφοξιτίνη</w:t>
      </w:r>
      <w:proofErr w:type="spellEnd"/>
      <w:r w:rsidRPr="00705BBC">
        <w:rPr>
          <w:rFonts w:ascii="Times New Roman" w:hAnsi="Times New Roman"/>
          <w:sz w:val="24"/>
          <w:szCs w:val="24"/>
        </w:rPr>
        <w:t xml:space="preserve">, </w:t>
      </w:r>
      <w:proofErr w:type="spellStart"/>
      <w:r w:rsidRPr="00705BBC">
        <w:rPr>
          <w:rFonts w:ascii="Times New Roman" w:hAnsi="Times New Roman"/>
          <w:sz w:val="24"/>
          <w:szCs w:val="24"/>
        </w:rPr>
        <w:t>ερταπενέμη</w:t>
      </w:r>
      <w:proofErr w:type="spellEnd"/>
      <w:r w:rsidRPr="00705BBC">
        <w:rPr>
          <w:rFonts w:ascii="Times New Roman" w:hAnsi="Times New Roman"/>
          <w:sz w:val="24"/>
          <w:szCs w:val="24"/>
        </w:rPr>
        <w:t xml:space="preserve">, </w:t>
      </w:r>
      <w:proofErr w:type="spellStart"/>
      <w:r w:rsidRPr="00705BBC">
        <w:rPr>
          <w:rFonts w:ascii="Times New Roman" w:hAnsi="Times New Roman"/>
          <w:sz w:val="24"/>
          <w:szCs w:val="24"/>
        </w:rPr>
        <w:t>μοξιφλοξασίνη</w:t>
      </w:r>
      <w:proofErr w:type="spellEnd"/>
      <w:r w:rsidRPr="00705BBC">
        <w:rPr>
          <w:rFonts w:ascii="Times New Roman" w:hAnsi="Times New Roman"/>
          <w:sz w:val="24"/>
          <w:szCs w:val="24"/>
        </w:rPr>
        <w:t xml:space="preserve"> ή </w:t>
      </w:r>
      <w:proofErr w:type="spellStart"/>
      <w:r w:rsidRPr="00705BBC">
        <w:rPr>
          <w:rFonts w:ascii="Times New Roman" w:hAnsi="Times New Roman"/>
          <w:sz w:val="24"/>
          <w:szCs w:val="24"/>
        </w:rPr>
        <w:t>τιγεκυκλίνη</w:t>
      </w:r>
      <w:proofErr w:type="spellEnd"/>
      <w:r w:rsidRPr="00705BBC">
        <w:rPr>
          <w:rFonts w:ascii="Times New Roman" w:hAnsi="Times New Roman"/>
          <w:sz w:val="24"/>
          <w:szCs w:val="24"/>
        </w:rPr>
        <w:t xml:space="preserve"> ως </w:t>
      </w:r>
      <w:proofErr w:type="spellStart"/>
      <w:r w:rsidRPr="00705BBC">
        <w:rPr>
          <w:rFonts w:ascii="Times New Roman" w:hAnsi="Times New Roman"/>
          <w:sz w:val="24"/>
          <w:szCs w:val="24"/>
        </w:rPr>
        <w:t>μονοθεραπεία</w:t>
      </w:r>
      <w:proofErr w:type="spellEnd"/>
      <w:r w:rsidRPr="00705BBC">
        <w:rPr>
          <w:rFonts w:ascii="Times New Roman" w:hAnsi="Times New Roman"/>
          <w:sz w:val="24"/>
          <w:szCs w:val="24"/>
        </w:rPr>
        <w:t xml:space="preserve"> ή συνδυασμό </w:t>
      </w:r>
      <w:proofErr w:type="spellStart"/>
      <w:r w:rsidRPr="00705BBC">
        <w:rPr>
          <w:rFonts w:ascii="Times New Roman" w:hAnsi="Times New Roman"/>
          <w:sz w:val="24"/>
          <w:szCs w:val="24"/>
        </w:rPr>
        <w:t>μετρονιδαζόλης</w:t>
      </w:r>
      <w:proofErr w:type="spellEnd"/>
      <w:r w:rsidRPr="00705BBC">
        <w:rPr>
          <w:rFonts w:ascii="Times New Roman" w:hAnsi="Times New Roman"/>
          <w:sz w:val="24"/>
          <w:szCs w:val="24"/>
        </w:rPr>
        <w:t xml:space="preserve"> με </w:t>
      </w:r>
      <w:proofErr w:type="spellStart"/>
      <w:r w:rsidRPr="00705BBC">
        <w:rPr>
          <w:rFonts w:ascii="Times New Roman" w:hAnsi="Times New Roman"/>
          <w:sz w:val="24"/>
          <w:szCs w:val="24"/>
        </w:rPr>
        <w:t>κεφαζολίνη</w:t>
      </w:r>
      <w:proofErr w:type="spellEnd"/>
      <w:r w:rsidRPr="00705BBC">
        <w:rPr>
          <w:rFonts w:ascii="Times New Roman" w:hAnsi="Times New Roman"/>
          <w:sz w:val="24"/>
          <w:szCs w:val="24"/>
        </w:rPr>
        <w:t xml:space="preserve">, </w:t>
      </w:r>
      <w:proofErr w:type="spellStart"/>
      <w:r w:rsidRPr="00705BBC">
        <w:rPr>
          <w:rFonts w:ascii="Times New Roman" w:hAnsi="Times New Roman"/>
          <w:sz w:val="24"/>
          <w:szCs w:val="24"/>
        </w:rPr>
        <w:t>κεφουροξίμη</w:t>
      </w:r>
      <w:proofErr w:type="spellEnd"/>
      <w:r w:rsidRPr="00705BBC">
        <w:rPr>
          <w:rFonts w:ascii="Times New Roman" w:hAnsi="Times New Roman"/>
          <w:sz w:val="24"/>
          <w:szCs w:val="24"/>
        </w:rPr>
        <w:t xml:space="preserve">, </w:t>
      </w:r>
      <w:proofErr w:type="spellStart"/>
      <w:r w:rsidRPr="00705BBC">
        <w:rPr>
          <w:rFonts w:ascii="Times New Roman" w:hAnsi="Times New Roman"/>
          <w:sz w:val="24"/>
          <w:szCs w:val="24"/>
        </w:rPr>
        <w:t>κεφτριαξόνη</w:t>
      </w:r>
      <w:proofErr w:type="spellEnd"/>
      <w:r w:rsidRPr="00705BBC">
        <w:rPr>
          <w:rFonts w:ascii="Times New Roman" w:hAnsi="Times New Roman"/>
          <w:sz w:val="24"/>
          <w:szCs w:val="24"/>
        </w:rPr>
        <w:t xml:space="preserve">, </w:t>
      </w:r>
      <w:proofErr w:type="spellStart"/>
      <w:r w:rsidRPr="00705BBC">
        <w:rPr>
          <w:rFonts w:ascii="Times New Roman" w:hAnsi="Times New Roman"/>
          <w:sz w:val="24"/>
          <w:szCs w:val="24"/>
        </w:rPr>
        <w:t>λεβοφλοξασίνη</w:t>
      </w:r>
      <w:proofErr w:type="spellEnd"/>
      <w:r w:rsidRPr="00705BBC">
        <w:rPr>
          <w:rFonts w:ascii="Times New Roman" w:hAnsi="Times New Roman"/>
          <w:sz w:val="24"/>
          <w:szCs w:val="24"/>
        </w:rPr>
        <w:t xml:space="preserve"> ή </w:t>
      </w:r>
      <w:proofErr w:type="spellStart"/>
      <w:r w:rsidRPr="00705BBC">
        <w:rPr>
          <w:rFonts w:ascii="Times New Roman" w:hAnsi="Times New Roman"/>
          <w:sz w:val="24"/>
          <w:szCs w:val="24"/>
        </w:rPr>
        <w:t>σιπροφλοξασίνη</w:t>
      </w:r>
      <w:proofErr w:type="spellEnd"/>
      <w:r w:rsidR="00F85320">
        <w:rPr>
          <w:rFonts w:ascii="Times New Roman" w:hAnsi="Times New Roman"/>
          <w:sz w:val="24"/>
          <w:szCs w:val="24"/>
        </w:rPr>
        <w:t>.</w:t>
      </w:r>
    </w:p>
    <w:p w:rsidR="009945B0" w:rsidRPr="00705BBC" w:rsidRDefault="009945B0" w:rsidP="009945B0">
      <w:pPr>
        <w:pStyle w:val="a4"/>
        <w:numPr>
          <w:ilvl w:val="0"/>
          <w:numId w:val="8"/>
        </w:numPr>
        <w:ind w:left="426" w:hanging="426"/>
        <w:jc w:val="both"/>
        <w:rPr>
          <w:rFonts w:ascii="Times New Roman" w:hAnsi="Times New Roman"/>
          <w:sz w:val="24"/>
          <w:szCs w:val="24"/>
        </w:rPr>
      </w:pPr>
      <w:r w:rsidRPr="00705BBC">
        <w:rPr>
          <w:rFonts w:ascii="Times New Roman" w:hAnsi="Times New Roman"/>
          <w:sz w:val="24"/>
          <w:szCs w:val="24"/>
        </w:rPr>
        <w:t xml:space="preserve">Δεν συνιστάται η χορήγηση </w:t>
      </w:r>
      <w:proofErr w:type="spellStart"/>
      <w:r w:rsidRPr="00705BBC">
        <w:rPr>
          <w:rFonts w:ascii="Times New Roman" w:hAnsi="Times New Roman"/>
          <w:sz w:val="24"/>
          <w:szCs w:val="24"/>
        </w:rPr>
        <w:t>αμπικιλίνης</w:t>
      </w:r>
      <w:proofErr w:type="spellEnd"/>
      <w:r w:rsidRPr="00705BBC">
        <w:rPr>
          <w:rFonts w:ascii="Times New Roman" w:hAnsi="Times New Roman"/>
          <w:sz w:val="24"/>
          <w:szCs w:val="24"/>
        </w:rPr>
        <w:t>/</w:t>
      </w:r>
      <w:proofErr w:type="spellStart"/>
      <w:r w:rsidRPr="00705BBC">
        <w:rPr>
          <w:rFonts w:ascii="Times New Roman" w:hAnsi="Times New Roman"/>
          <w:sz w:val="24"/>
          <w:szCs w:val="24"/>
        </w:rPr>
        <w:t>σουλμπακτάμης</w:t>
      </w:r>
      <w:proofErr w:type="spellEnd"/>
      <w:r w:rsidRPr="00705BBC">
        <w:rPr>
          <w:rFonts w:ascii="Times New Roman" w:hAnsi="Times New Roman"/>
          <w:sz w:val="24"/>
          <w:szCs w:val="24"/>
        </w:rPr>
        <w:t xml:space="preserve"> επειδή η </w:t>
      </w:r>
      <w:r w:rsidRPr="00705BBC">
        <w:rPr>
          <w:rFonts w:ascii="Times New Roman" w:hAnsi="Times New Roman"/>
          <w:i/>
          <w:sz w:val="24"/>
          <w:szCs w:val="24"/>
          <w:lang w:val="en-US"/>
        </w:rPr>
        <w:t>Escherichia</w:t>
      </w:r>
      <w:r w:rsidRPr="00705BBC">
        <w:rPr>
          <w:rFonts w:ascii="Times New Roman" w:hAnsi="Times New Roman"/>
          <w:sz w:val="24"/>
          <w:szCs w:val="24"/>
        </w:rPr>
        <w:t xml:space="preserve"> </w:t>
      </w:r>
      <w:r w:rsidRPr="00705BBC">
        <w:rPr>
          <w:rFonts w:ascii="Times New Roman" w:hAnsi="Times New Roman"/>
          <w:i/>
          <w:sz w:val="24"/>
          <w:szCs w:val="24"/>
          <w:lang w:val="en-US"/>
        </w:rPr>
        <w:t>coli</w:t>
      </w:r>
      <w:r w:rsidRPr="00705BBC">
        <w:rPr>
          <w:rFonts w:ascii="Times New Roman" w:hAnsi="Times New Roman"/>
          <w:sz w:val="24"/>
          <w:szCs w:val="24"/>
        </w:rPr>
        <w:t xml:space="preserve"> εμφανί</w:t>
      </w:r>
      <w:r w:rsidR="00F85320">
        <w:rPr>
          <w:rFonts w:ascii="Times New Roman" w:hAnsi="Times New Roman"/>
          <w:sz w:val="24"/>
          <w:szCs w:val="24"/>
        </w:rPr>
        <w:t>ζει υψηλά ποσοστά αντοχής.</w:t>
      </w:r>
    </w:p>
    <w:p w:rsidR="009945B0" w:rsidRPr="00705BBC" w:rsidRDefault="00F85320" w:rsidP="009945B0">
      <w:pPr>
        <w:pStyle w:val="a4"/>
        <w:numPr>
          <w:ilvl w:val="0"/>
          <w:numId w:val="8"/>
        </w:numPr>
        <w:ind w:left="426" w:hanging="426"/>
        <w:jc w:val="both"/>
        <w:rPr>
          <w:rFonts w:ascii="Times New Roman" w:hAnsi="Times New Roman"/>
          <w:sz w:val="24"/>
          <w:szCs w:val="24"/>
        </w:rPr>
      </w:pPr>
      <w:r>
        <w:rPr>
          <w:rFonts w:ascii="Times New Roman" w:hAnsi="Times New Roman"/>
          <w:sz w:val="24"/>
          <w:szCs w:val="24"/>
        </w:rPr>
        <w:t xml:space="preserve">Η </w:t>
      </w:r>
      <w:proofErr w:type="spellStart"/>
      <w:r>
        <w:rPr>
          <w:rFonts w:ascii="Times New Roman" w:hAnsi="Times New Roman"/>
          <w:sz w:val="24"/>
          <w:szCs w:val="24"/>
        </w:rPr>
        <w:t>κλινδαμυκίνη</w:t>
      </w:r>
      <w:proofErr w:type="spellEnd"/>
      <w:r>
        <w:rPr>
          <w:rFonts w:ascii="Times New Roman" w:hAnsi="Times New Roman"/>
          <w:sz w:val="24"/>
          <w:szCs w:val="24"/>
        </w:rPr>
        <w:t xml:space="preserve"> δεν συνιστά</w:t>
      </w:r>
      <w:r w:rsidR="009945B0" w:rsidRPr="00705BBC">
        <w:rPr>
          <w:rFonts w:ascii="Times New Roman" w:hAnsi="Times New Roman"/>
          <w:sz w:val="24"/>
          <w:szCs w:val="24"/>
        </w:rPr>
        <w:t xml:space="preserve">ται λόγω της ανάπτυξης σημαντικής αντοχής σε στελέχη του </w:t>
      </w:r>
      <w:r w:rsidR="009945B0" w:rsidRPr="00705BBC">
        <w:rPr>
          <w:rFonts w:ascii="Times New Roman" w:hAnsi="Times New Roman"/>
          <w:i/>
          <w:sz w:val="24"/>
          <w:szCs w:val="24"/>
          <w:lang w:val="en-US"/>
        </w:rPr>
        <w:t>B</w:t>
      </w:r>
      <w:r w:rsidR="009945B0" w:rsidRPr="00705BBC">
        <w:rPr>
          <w:rFonts w:ascii="Times New Roman" w:hAnsi="Times New Roman"/>
          <w:i/>
          <w:sz w:val="24"/>
          <w:szCs w:val="24"/>
        </w:rPr>
        <w:t xml:space="preserve">. </w:t>
      </w:r>
      <w:r w:rsidRPr="00705BBC">
        <w:rPr>
          <w:rFonts w:ascii="Times New Roman" w:hAnsi="Times New Roman"/>
          <w:i/>
          <w:sz w:val="24"/>
          <w:szCs w:val="24"/>
          <w:lang w:val="en-US"/>
        </w:rPr>
        <w:t>F</w:t>
      </w:r>
      <w:r w:rsidR="009945B0" w:rsidRPr="00705BBC">
        <w:rPr>
          <w:rFonts w:ascii="Times New Roman" w:hAnsi="Times New Roman"/>
          <w:i/>
          <w:sz w:val="24"/>
          <w:szCs w:val="24"/>
          <w:lang w:val="en-US"/>
        </w:rPr>
        <w:t>ragilis</w:t>
      </w:r>
      <w:r>
        <w:rPr>
          <w:rFonts w:ascii="Times New Roman" w:hAnsi="Times New Roman"/>
          <w:sz w:val="24"/>
          <w:szCs w:val="24"/>
        </w:rPr>
        <w:t>.</w:t>
      </w:r>
    </w:p>
    <w:p w:rsidR="00F85320" w:rsidRDefault="009945B0" w:rsidP="009945B0">
      <w:pPr>
        <w:pStyle w:val="a4"/>
        <w:numPr>
          <w:ilvl w:val="0"/>
          <w:numId w:val="8"/>
        </w:numPr>
        <w:ind w:left="426" w:hanging="426"/>
        <w:jc w:val="both"/>
        <w:rPr>
          <w:rFonts w:ascii="Times New Roman" w:hAnsi="Times New Roman"/>
          <w:sz w:val="24"/>
          <w:szCs w:val="24"/>
        </w:rPr>
      </w:pPr>
      <w:r w:rsidRPr="00F85320">
        <w:rPr>
          <w:rFonts w:ascii="Times New Roman" w:hAnsi="Times New Roman"/>
          <w:sz w:val="24"/>
          <w:szCs w:val="24"/>
          <w:lang w:val="en-US"/>
        </w:rPr>
        <w:t>H</w:t>
      </w:r>
      <w:r w:rsidRPr="00F85320">
        <w:rPr>
          <w:rFonts w:ascii="Times New Roman" w:hAnsi="Times New Roman"/>
          <w:sz w:val="24"/>
          <w:szCs w:val="24"/>
        </w:rPr>
        <w:t xml:space="preserve"> χρήση των </w:t>
      </w:r>
      <w:proofErr w:type="spellStart"/>
      <w:r w:rsidRPr="00F85320">
        <w:rPr>
          <w:rFonts w:ascii="Times New Roman" w:hAnsi="Times New Roman"/>
          <w:sz w:val="24"/>
          <w:szCs w:val="24"/>
        </w:rPr>
        <w:t>αμινογλυκοσιδών</w:t>
      </w:r>
      <w:proofErr w:type="spellEnd"/>
      <w:r w:rsidRPr="00F85320">
        <w:rPr>
          <w:rFonts w:ascii="Times New Roman" w:hAnsi="Times New Roman"/>
          <w:sz w:val="24"/>
          <w:szCs w:val="24"/>
        </w:rPr>
        <w:t xml:space="preserve"> στις </w:t>
      </w:r>
      <w:proofErr w:type="spellStart"/>
      <w:r w:rsidRPr="00F85320">
        <w:rPr>
          <w:rFonts w:ascii="Times New Roman" w:hAnsi="Times New Roman"/>
          <w:sz w:val="24"/>
          <w:szCs w:val="24"/>
        </w:rPr>
        <w:t>εξωνοσοκομειακές</w:t>
      </w:r>
      <w:proofErr w:type="spellEnd"/>
      <w:r w:rsidRPr="00F85320">
        <w:rPr>
          <w:rFonts w:ascii="Times New Roman" w:hAnsi="Times New Roman"/>
          <w:sz w:val="24"/>
          <w:szCs w:val="24"/>
        </w:rPr>
        <w:t xml:space="preserve"> λοιμώξεις θα πρέπει να περιορισθεί καθώς υπάρχουν λιγότερο τοξικοί παράγοντες με του</w:t>
      </w:r>
      <w:r w:rsidR="00F85320">
        <w:rPr>
          <w:rFonts w:ascii="Times New Roman" w:hAnsi="Times New Roman"/>
          <w:sz w:val="24"/>
          <w:szCs w:val="24"/>
        </w:rPr>
        <w:t>λάχιστον ισοδύναμη δραστικότητα.</w:t>
      </w:r>
    </w:p>
    <w:p w:rsidR="009945B0" w:rsidRPr="00F85320" w:rsidRDefault="009945B0" w:rsidP="009945B0">
      <w:pPr>
        <w:pStyle w:val="a4"/>
        <w:numPr>
          <w:ilvl w:val="0"/>
          <w:numId w:val="8"/>
        </w:numPr>
        <w:ind w:left="426" w:hanging="426"/>
        <w:jc w:val="both"/>
        <w:rPr>
          <w:rFonts w:ascii="Times New Roman" w:hAnsi="Times New Roman"/>
          <w:sz w:val="24"/>
          <w:szCs w:val="24"/>
        </w:rPr>
      </w:pPr>
      <w:r w:rsidRPr="00F85320">
        <w:rPr>
          <w:rFonts w:ascii="Times New Roman" w:hAnsi="Times New Roman"/>
          <w:sz w:val="24"/>
          <w:szCs w:val="24"/>
        </w:rPr>
        <w:t xml:space="preserve">Η εμπειρική κάλυψη του εντεροκόκκου δεν είναι αναγκαία στις </w:t>
      </w:r>
      <w:proofErr w:type="spellStart"/>
      <w:r w:rsidRPr="00F85320">
        <w:rPr>
          <w:rFonts w:ascii="Times New Roman" w:hAnsi="Times New Roman"/>
          <w:sz w:val="24"/>
          <w:szCs w:val="24"/>
        </w:rPr>
        <w:t>εξωνοσοκομειακές</w:t>
      </w:r>
      <w:proofErr w:type="spellEnd"/>
      <w:r w:rsidRPr="00F85320">
        <w:rPr>
          <w:rFonts w:ascii="Times New Roman" w:hAnsi="Times New Roman"/>
          <w:sz w:val="24"/>
          <w:szCs w:val="24"/>
        </w:rPr>
        <w:t xml:space="preserve"> λοιμώξεις (Α-Ι)</w:t>
      </w:r>
    </w:p>
    <w:p w:rsidR="009945B0" w:rsidRPr="00705BBC" w:rsidRDefault="009945B0" w:rsidP="009945B0">
      <w:pPr>
        <w:pStyle w:val="a4"/>
        <w:numPr>
          <w:ilvl w:val="0"/>
          <w:numId w:val="8"/>
        </w:numPr>
        <w:ind w:left="426" w:hanging="426"/>
        <w:jc w:val="both"/>
        <w:rPr>
          <w:rFonts w:ascii="Times New Roman" w:hAnsi="Times New Roman"/>
          <w:sz w:val="24"/>
          <w:szCs w:val="24"/>
        </w:rPr>
      </w:pPr>
      <w:r w:rsidRPr="00705BBC">
        <w:rPr>
          <w:rFonts w:ascii="Times New Roman" w:hAnsi="Times New Roman"/>
          <w:sz w:val="24"/>
          <w:szCs w:val="24"/>
        </w:rPr>
        <w:t xml:space="preserve">Η εμπειρική κάλυψη της </w:t>
      </w:r>
      <w:r w:rsidRPr="00705BBC">
        <w:rPr>
          <w:rFonts w:ascii="Times New Roman" w:hAnsi="Times New Roman"/>
          <w:i/>
          <w:sz w:val="24"/>
          <w:szCs w:val="24"/>
          <w:lang w:val="en-US"/>
        </w:rPr>
        <w:t>Candida</w:t>
      </w:r>
      <w:r w:rsidRPr="00705BBC">
        <w:rPr>
          <w:rFonts w:ascii="Times New Roman" w:hAnsi="Times New Roman"/>
          <w:sz w:val="24"/>
          <w:szCs w:val="24"/>
        </w:rPr>
        <w:t xml:space="preserve"> δεν συνιστάται στους παιδιατρικούς και ενήλικες ασθενείς με </w:t>
      </w:r>
      <w:proofErr w:type="spellStart"/>
      <w:r w:rsidRPr="00705BBC">
        <w:rPr>
          <w:rFonts w:ascii="Times New Roman" w:hAnsi="Times New Roman"/>
          <w:sz w:val="24"/>
          <w:szCs w:val="24"/>
        </w:rPr>
        <w:t>εξωνοσοκομειακή</w:t>
      </w:r>
      <w:proofErr w:type="spellEnd"/>
      <w:r w:rsidRPr="00705BBC">
        <w:rPr>
          <w:rFonts w:ascii="Times New Roman" w:hAnsi="Times New Roman"/>
          <w:sz w:val="24"/>
          <w:szCs w:val="24"/>
        </w:rPr>
        <w:t xml:space="preserve"> </w:t>
      </w:r>
      <w:proofErr w:type="spellStart"/>
      <w:r w:rsidRPr="00705BBC">
        <w:rPr>
          <w:rFonts w:ascii="Times New Roman" w:hAnsi="Times New Roman"/>
          <w:sz w:val="24"/>
          <w:szCs w:val="24"/>
        </w:rPr>
        <w:t>ενδοκοιλιακή</w:t>
      </w:r>
      <w:proofErr w:type="spellEnd"/>
      <w:r w:rsidRPr="00705BBC">
        <w:rPr>
          <w:rFonts w:ascii="Times New Roman" w:hAnsi="Times New Roman"/>
          <w:sz w:val="24"/>
          <w:szCs w:val="24"/>
        </w:rPr>
        <w:t xml:space="preserve"> λοίμωξη (Β-ΙΙ)</w:t>
      </w:r>
    </w:p>
    <w:p w:rsidR="009945B0" w:rsidRPr="00705BBC" w:rsidRDefault="009945B0" w:rsidP="009945B0">
      <w:pPr>
        <w:pStyle w:val="a4"/>
        <w:numPr>
          <w:ilvl w:val="0"/>
          <w:numId w:val="8"/>
        </w:numPr>
        <w:ind w:left="426" w:hanging="426"/>
        <w:jc w:val="both"/>
        <w:rPr>
          <w:rFonts w:ascii="Times New Roman" w:hAnsi="Times New Roman"/>
          <w:sz w:val="24"/>
          <w:szCs w:val="24"/>
        </w:rPr>
      </w:pPr>
      <w:r w:rsidRPr="00705BBC">
        <w:rPr>
          <w:rFonts w:ascii="Times New Roman" w:hAnsi="Times New Roman"/>
          <w:sz w:val="24"/>
          <w:szCs w:val="24"/>
        </w:rPr>
        <w:t xml:space="preserve">Οι </w:t>
      </w:r>
      <w:proofErr w:type="spellStart"/>
      <w:r w:rsidRPr="00705BBC">
        <w:rPr>
          <w:rFonts w:ascii="Times New Roman" w:hAnsi="Times New Roman"/>
          <w:sz w:val="24"/>
          <w:szCs w:val="24"/>
        </w:rPr>
        <w:t>αντιμικροβιακοί</w:t>
      </w:r>
      <w:proofErr w:type="spellEnd"/>
      <w:r w:rsidRPr="00705BBC">
        <w:rPr>
          <w:rFonts w:ascii="Times New Roman" w:hAnsi="Times New Roman"/>
          <w:sz w:val="24"/>
          <w:szCs w:val="24"/>
        </w:rPr>
        <w:t xml:space="preserve"> παράγοντες που συνιστώνται για τις σοβαρότερες λοιμώξεις της κοινότητας καθώς και με λοιμώξεις που αναπτύχθηκαν σε περιβάλλον παροχής υπηρεσιών υγείας (</w:t>
      </w:r>
      <w:r w:rsidRPr="00705BBC">
        <w:rPr>
          <w:rFonts w:ascii="Times New Roman" w:hAnsi="Times New Roman"/>
          <w:sz w:val="24"/>
          <w:szCs w:val="24"/>
          <w:lang w:val="en-US"/>
        </w:rPr>
        <w:t>health</w:t>
      </w:r>
      <w:r w:rsidRPr="00705BBC">
        <w:rPr>
          <w:rFonts w:ascii="Times New Roman" w:hAnsi="Times New Roman"/>
          <w:sz w:val="24"/>
          <w:szCs w:val="24"/>
        </w:rPr>
        <w:t>-</w:t>
      </w:r>
      <w:r w:rsidRPr="00705BBC">
        <w:rPr>
          <w:rFonts w:ascii="Times New Roman" w:hAnsi="Times New Roman"/>
          <w:sz w:val="24"/>
          <w:szCs w:val="24"/>
          <w:lang w:val="en-US"/>
        </w:rPr>
        <w:t>care</w:t>
      </w:r>
      <w:r w:rsidRPr="00705BBC">
        <w:rPr>
          <w:rFonts w:ascii="Times New Roman" w:hAnsi="Times New Roman"/>
          <w:sz w:val="24"/>
          <w:szCs w:val="24"/>
        </w:rPr>
        <w:t xml:space="preserve"> </w:t>
      </w:r>
      <w:r w:rsidRPr="00705BBC">
        <w:rPr>
          <w:rFonts w:ascii="Times New Roman" w:hAnsi="Times New Roman"/>
          <w:sz w:val="24"/>
          <w:szCs w:val="24"/>
          <w:lang w:val="en-US"/>
        </w:rPr>
        <w:t>associated</w:t>
      </w:r>
      <w:r w:rsidRPr="00705BBC">
        <w:rPr>
          <w:rFonts w:ascii="Times New Roman" w:hAnsi="Times New Roman"/>
          <w:sz w:val="24"/>
          <w:szCs w:val="24"/>
        </w:rPr>
        <w:t xml:space="preserve"> </w:t>
      </w:r>
      <w:r w:rsidRPr="00705BBC">
        <w:rPr>
          <w:rFonts w:ascii="Times New Roman" w:hAnsi="Times New Roman"/>
          <w:sz w:val="24"/>
          <w:szCs w:val="24"/>
          <w:lang w:val="en-US"/>
        </w:rPr>
        <w:t>infections</w:t>
      </w:r>
      <w:r w:rsidRPr="00705BBC">
        <w:rPr>
          <w:rFonts w:ascii="Times New Roman" w:hAnsi="Times New Roman"/>
          <w:sz w:val="24"/>
          <w:szCs w:val="24"/>
        </w:rPr>
        <w:t xml:space="preserve">) δεν θα πρέπει να χορηγούνται στους ασθενείς με </w:t>
      </w:r>
      <w:r w:rsidRPr="00705BBC">
        <w:rPr>
          <w:rFonts w:ascii="Times New Roman" w:hAnsi="Times New Roman"/>
          <w:sz w:val="24"/>
          <w:szCs w:val="24"/>
        </w:rPr>
        <w:lastRenderedPageBreak/>
        <w:t>ηπιότερες λοιμώξεις καθώς αυξάνουν τον κίνδυνο τοξικών αντιδράσεων και ανάπτυξης μικροβιακής αντοχής (Β-ΙΙ)</w:t>
      </w:r>
    </w:p>
    <w:p w:rsidR="009945B0" w:rsidRPr="00705BBC" w:rsidRDefault="009945B0" w:rsidP="009945B0">
      <w:pPr>
        <w:pStyle w:val="a4"/>
        <w:numPr>
          <w:ilvl w:val="0"/>
          <w:numId w:val="8"/>
        </w:numPr>
        <w:ind w:left="426" w:hanging="426"/>
        <w:jc w:val="both"/>
        <w:rPr>
          <w:rFonts w:ascii="Times New Roman" w:hAnsi="Times New Roman"/>
          <w:sz w:val="24"/>
          <w:szCs w:val="24"/>
        </w:rPr>
      </w:pPr>
      <w:r w:rsidRPr="00705BBC">
        <w:rPr>
          <w:rFonts w:ascii="Times New Roman" w:hAnsi="Times New Roman"/>
          <w:sz w:val="24"/>
          <w:szCs w:val="24"/>
        </w:rPr>
        <w:t xml:space="preserve">Οι ασθενείς με ήπια ενδοκοιλιακή λοίμωξη (που περιλαμβάνει την οξεία </w:t>
      </w:r>
      <w:proofErr w:type="spellStart"/>
      <w:r w:rsidRPr="00705BBC">
        <w:rPr>
          <w:rFonts w:ascii="Times New Roman" w:hAnsi="Times New Roman"/>
          <w:sz w:val="24"/>
          <w:szCs w:val="24"/>
        </w:rPr>
        <w:t>εκκολπωματίτιδα</w:t>
      </w:r>
      <w:proofErr w:type="spellEnd"/>
      <w:r w:rsidRPr="00705BBC">
        <w:rPr>
          <w:rFonts w:ascii="Times New Roman" w:hAnsi="Times New Roman"/>
          <w:sz w:val="24"/>
          <w:szCs w:val="24"/>
        </w:rPr>
        <w:t xml:space="preserve"> καθώς και διάφορες μορφές σκωληκοειδίτιδας) που δεν θα υποβληθούν σε χειρουργική επέμβαση, θα πρέπει να λάβουν την  αντιμικροβιακή θεραπεία η οποία συνιστάται για τις ήπιες έως μετρίως σοβαρές λοιμώξεις, έχοντας κατά νου την πιθανότητα μιας πρώιμης στροφής της αγωγής σε από του στόματος παράγοντες (Β-ΙΙΙ)</w:t>
      </w:r>
    </w:p>
    <w:p w:rsidR="009945B0" w:rsidRPr="00705BBC" w:rsidRDefault="009945B0" w:rsidP="009945B0">
      <w:pPr>
        <w:jc w:val="both"/>
      </w:pPr>
      <w:r w:rsidRPr="00705BBC">
        <w:t xml:space="preserve">              </w:t>
      </w:r>
    </w:p>
    <w:p w:rsidR="009945B0" w:rsidRPr="00705BBC" w:rsidRDefault="009945B0" w:rsidP="009945B0">
      <w:pPr>
        <w:jc w:val="both"/>
        <w:rPr>
          <w:b/>
        </w:rPr>
      </w:pPr>
      <w:r w:rsidRPr="00705BBC">
        <w:rPr>
          <w:b/>
        </w:rPr>
        <w:t>ΣΟΒΑΡΕΣ ΕΞΩΝΟΣΟΚΟΜΕΙΑΚΕΣ ΕΝΔΟΚΟΙΛΙΑΚΕΣ ΛΟΙΜΩΞΕΙΣ</w:t>
      </w:r>
    </w:p>
    <w:p w:rsidR="009945B0" w:rsidRPr="00705BBC" w:rsidRDefault="009945B0" w:rsidP="009945B0">
      <w:pPr>
        <w:pStyle w:val="a4"/>
        <w:numPr>
          <w:ilvl w:val="0"/>
          <w:numId w:val="9"/>
        </w:numPr>
        <w:ind w:left="426" w:hanging="426"/>
        <w:jc w:val="both"/>
        <w:rPr>
          <w:rFonts w:ascii="Times New Roman" w:hAnsi="Times New Roman"/>
          <w:sz w:val="24"/>
          <w:szCs w:val="24"/>
        </w:rPr>
      </w:pPr>
      <w:r w:rsidRPr="00705BBC">
        <w:rPr>
          <w:rFonts w:ascii="Times New Roman" w:hAnsi="Times New Roman"/>
          <w:sz w:val="24"/>
          <w:szCs w:val="24"/>
        </w:rPr>
        <w:t xml:space="preserve">Στους ασθενείς με σοβαρή </w:t>
      </w:r>
      <w:proofErr w:type="spellStart"/>
      <w:r w:rsidRPr="00705BBC">
        <w:rPr>
          <w:rFonts w:ascii="Times New Roman" w:hAnsi="Times New Roman"/>
          <w:sz w:val="24"/>
          <w:szCs w:val="24"/>
        </w:rPr>
        <w:t>εξωνοσοκομειακή</w:t>
      </w:r>
      <w:proofErr w:type="spellEnd"/>
      <w:r w:rsidRPr="00705BBC">
        <w:rPr>
          <w:rFonts w:ascii="Times New Roman" w:hAnsi="Times New Roman"/>
          <w:sz w:val="24"/>
          <w:szCs w:val="24"/>
        </w:rPr>
        <w:t xml:space="preserve"> </w:t>
      </w:r>
      <w:proofErr w:type="spellStart"/>
      <w:r w:rsidRPr="00705BBC">
        <w:rPr>
          <w:rFonts w:ascii="Times New Roman" w:hAnsi="Times New Roman"/>
          <w:sz w:val="24"/>
          <w:szCs w:val="24"/>
        </w:rPr>
        <w:t>ενδοκοιλιακή</w:t>
      </w:r>
      <w:proofErr w:type="spellEnd"/>
      <w:r w:rsidRPr="00705BBC">
        <w:rPr>
          <w:rFonts w:ascii="Times New Roman" w:hAnsi="Times New Roman"/>
          <w:sz w:val="24"/>
          <w:szCs w:val="24"/>
        </w:rPr>
        <w:t xml:space="preserve"> λοίμωξη (όπως αυτή μπορεί να προσδιορισθεί από διάφορους παράγοντες στους οποίους περιλαμβάνονται η καθυστερημένη αντιμετώπιση, η μεγάλη ηλικία, η κακή διατροφική κατάσταση, η </w:t>
      </w:r>
      <w:proofErr w:type="spellStart"/>
      <w:r w:rsidRPr="00705BBC">
        <w:rPr>
          <w:rFonts w:ascii="Times New Roman" w:hAnsi="Times New Roman"/>
          <w:sz w:val="24"/>
          <w:szCs w:val="24"/>
        </w:rPr>
        <w:t>υπολευκωματιναιμία</w:t>
      </w:r>
      <w:proofErr w:type="spellEnd"/>
      <w:r w:rsidRPr="00705BBC">
        <w:rPr>
          <w:rFonts w:ascii="Times New Roman" w:hAnsi="Times New Roman"/>
          <w:sz w:val="24"/>
          <w:szCs w:val="24"/>
        </w:rPr>
        <w:t xml:space="preserve">, η παρουσία κακοήθους νόσου, η έκταση της λοίμωξης, η αδυναμία επαρκούς χειρουργικού ελέγχου της κατάστασης και, τέλος, το υψηλό (&gt;15) </w:t>
      </w:r>
      <w:r w:rsidRPr="00705BBC">
        <w:rPr>
          <w:rFonts w:ascii="Times New Roman" w:hAnsi="Times New Roman"/>
          <w:sz w:val="24"/>
          <w:szCs w:val="24"/>
          <w:lang w:val="en-US"/>
        </w:rPr>
        <w:t>score</w:t>
      </w:r>
      <w:r w:rsidRPr="00705BBC">
        <w:rPr>
          <w:rFonts w:ascii="Times New Roman" w:hAnsi="Times New Roman"/>
          <w:sz w:val="24"/>
          <w:szCs w:val="24"/>
        </w:rPr>
        <w:t xml:space="preserve"> </w:t>
      </w:r>
      <w:r w:rsidRPr="00705BBC">
        <w:rPr>
          <w:rFonts w:ascii="Times New Roman" w:hAnsi="Times New Roman"/>
          <w:sz w:val="24"/>
          <w:szCs w:val="24"/>
          <w:lang w:val="en-US"/>
        </w:rPr>
        <w:t>APACHE</w:t>
      </w:r>
      <w:r w:rsidRPr="00705BBC">
        <w:rPr>
          <w:rFonts w:ascii="Times New Roman" w:hAnsi="Times New Roman"/>
          <w:sz w:val="24"/>
          <w:szCs w:val="24"/>
        </w:rPr>
        <w:t xml:space="preserve"> </w:t>
      </w:r>
      <w:r w:rsidRPr="00705BBC">
        <w:rPr>
          <w:rFonts w:ascii="Times New Roman" w:hAnsi="Times New Roman"/>
          <w:sz w:val="24"/>
          <w:szCs w:val="24"/>
          <w:lang w:val="en-US"/>
        </w:rPr>
        <w:t>II</w:t>
      </w:r>
      <w:r w:rsidRPr="00705BBC">
        <w:rPr>
          <w:rFonts w:ascii="Times New Roman" w:hAnsi="Times New Roman"/>
          <w:sz w:val="24"/>
          <w:szCs w:val="24"/>
        </w:rPr>
        <w:t xml:space="preserve">*), η  εμπειρική χορήγηση αντιβιοτικών θα πρέπει να παρέχει ευρεία κάλυψη έναντι των </w:t>
      </w:r>
      <w:r w:rsidRPr="00705BBC">
        <w:rPr>
          <w:rFonts w:ascii="Times New Roman" w:hAnsi="Times New Roman"/>
          <w:sz w:val="24"/>
          <w:szCs w:val="24"/>
          <w:lang w:val="en-US"/>
        </w:rPr>
        <w:t>Gram</w:t>
      </w:r>
      <w:r w:rsidRPr="00705BBC">
        <w:rPr>
          <w:rFonts w:ascii="Times New Roman" w:hAnsi="Times New Roman"/>
          <w:sz w:val="24"/>
          <w:szCs w:val="24"/>
        </w:rPr>
        <w:t xml:space="preserve">-αρνητικών βακτηριδίων και περιλαμβάνει τους παράγοντες </w:t>
      </w:r>
      <w:proofErr w:type="spellStart"/>
      <w:r w:rsidRPr="00705BBC">
        <w:rPr>
          <w:rFonts w:ascii="Times New Roman" w:hAnsi="Times New Roman"/>
          <w:sz w:val="24"/>
          <w:szCs w:val="24"/>
        </w:rPr>
        <w:t>μεροπενέμη</w:t>
      </w:r>
      <w:proofErr w:type="spellEnd"/>
      <w:r w:rsidRPr="00705BBC">
        <w:rPr>
          <w:rFonts w:ascii="Times New Roman" w:hAnsi="Times New Roman"/>
          <w:sz w:val="24"/>
          <w:szCs w:val="24"/>
        </w:rPr>
        <w:t xml:space="preserve">, </w:t>
      </w:r>
      <w:proofErr w:type="spellStart"/>
      <w:r w:rsidRPr="00705BBC">
        <w:rPr>
          <w:rFonts w:ascii="Times New Roman" w:hAnsi="Times New Roman"/>
          <w:sz w:val="24"/>
          <w:szCs w:val="24"/>
        </w:rPr>
        <w:t>ιμιπενέμη</w:t>
      </w:r>
      <w:proofErr w:type="spellEnd"/>
      <w:r w:rsidRPr="00705BBC">
        <w:rPr>
          <w:rFonts w:ascii="Times New Roman" w:hAnsi="Times New Roman"/>
          <w:sz w:val="24"/>
          <w:szCs w:val="24"/>
        </w:rPr>
        <w:t>-</w:t>
      </w:r>
      <w:proofErr w:type="spellStart"/>
      <w:r w:rsidRPr="00705BBC">
        <w:rPr>
          <w:rFonts w:ascii="Times New Roman" w:hAnsi="Times New Roman"/>
          <w:sz w:val="24"/>
          <w:szCs w:val="24"/>
        </w:rPr>
        <w:t>σιλαστατίνη</w:t>
      </w:r>
      <w:proofErr w:type="spellEnd"/>
      <w:r w:rsidRPr="00705BBC">
        <w:rPr>
          <w:rFonts w:ascii="Times New Roman" w:hAnsi="Times New Roman"/>
          <w:sz w:val="24"/>
          <w:szCs w:val="24"/>
        </w:rPr>
        <w:t xml:space="preserve">, </w:t>
      </w:r>
      <w:proofErr w:type="spellStart"/>
      <w:r w:rsidRPr="00705BBC">
        <w:rPr>
          <w:rFonts w:ascii="Times New Roman" w:hAnsi="Times New Roman"/>
          <w:sz w:val="24"/>
          <w:szCs w:val="24"/>
        </w:rPr>
        <w:t>δοριπενέμη</w:t>
      </w:r>
      <w:proofErr w:type="spellEnd"/>
      <w:r w:rsidRPr="00705BBC">
        <w:rPr>
          <w:rFonts w:ascii="Times New Roman" w:hAnsi="Times New Roman"/>
          <w:sz w:val="24"/>
          <w:szCs w:val="24"/>
        </w:rPr>
        <w:t xml:space="preserve">, </w:t>
      </w:r>
      <w:proofErr w:type="spellStart"/>
      <w:r w:rsidRPr="00705BBC">
        <w:rPr>
          <w:rFonts w:ascii="Times New Roman" w:hAnsi="Times New Roman"/>
          <w:sz w:val="24"/>
          <w:szCs w:val="24"/>
        </w:rPr>
        <w:t>πιπερακιλίνη</w:t>
      </w:r>
      <w:proofErr w:type="spellEnd"/>
      <w:r w:rsidRPr="00705BBC">
        <w:rPr>
          <w:rFonts w:ascii="Times New Roman" w:hAnsi="Times New Roman"/>
          <w:sz w:val="24"/>
          <w:szCs w:val="24"/>
        </w:rPr>
        <w:t>-</w:t>
      </w:r>
      <w:proofErr w:type="spellStart"/>
      <w:r w:rsidRPr="00705BBC">
        <w:rPr>
          <w:rFonts w:ascii="Times New Roman" w:hAnsi="Times New Roman"/>
          <w:sz w:val="24"/>
          <w:szCs w:val="24"/>
        </w:rPr>
        <w:t>ταζομπακτάμη</w:t>
      </w:r>
      <w:proofErr w:type="spellEnd"/>
      <w:r w:rsidRPr="00705BBC">
        <w:rPr>
          <w:rFonts w:ascii="Times New Roman" w:hAnsi="Times New Roman"/>
          <w:sz w:val="24"/>
          <w:szCs w:val="24"/>
        </w:rPr>
        <w:t xml:space="preserve"> ως μονοθεραπεία ή τους συνδυασμούς </w:t>
      </w:r>
      <w:proofErr w:type="spellStart"/>
      <w:r w:rsidRPr="00705BBC">
        <w:rPr>
          <w:rFonts w:ascii="Times New Roman" w:hAnsi="Times New Roman"/>
          <w:sz w:val="24"/>
          <w:szCs w:val="24"/>
        </w:rPr>
        <w:t>σιπροφλοξασίνης</w:t>
      </w:r>
      <w:proofErr w:type="spellEnd"/>
      <w:r w:rsidRPr="00705BBC">
        <w:rPr>
          <w:rFonts w:ascii="Times New Roman" w:hAnsi="Times New Roman"/>
          <w:sz w:val="24"/>
          <w:szCs w:val="24"/>
        </w:rPr>
        <w:t xml:space="preserve">, </w:t>
      </w:r>
      <w:proofErr w:type="spellStart"/>
      <w:r w:rsidRPr="00705BBC">
        <w:rPr>
          <w:rFonts w:ascii="Times New Roman" w:hAnsi="Times New Roman"/>
          <w:sz w:val="24"/>
          <w:szCs w:val="24"/>
        </w:rPr>
        <w:t>λεβοφλοξασίνης</w:t>
      </w:r>
      <w:proofErr w:type="spellEnd"/>
      <w:r w:rsidRPr="00705BBC">
        <w:rPr>
          <w:rFonts w:ascii="Times New Roman" w:hAnsi="Times New Roman"/>
          <w:sz w:val="24"/>
          <w:szCs w:val="24"/>
        </w:rPr>
        <w:t xml:space="preserve">, </w:t>
      </w:r>
      <w:proofErr w:type="spellStart"/>
      <w:r w:rsidRPr="00705BBC">
        <w:rPr>
          <w:rFonts w:ascii="Times New Roman" w:hAnsi="Times New Roman"/>
          <w:sz w:val="24"/>
          <w:szCs w:val="24"/>
        </w:rPr>
        <w:t>κεφταζιδίμης</w:t>
      </w:r>
      <w:proofErr w:type="spellEnd"/>
      <w:r w:rsidRPr="00705BBC">
        <w:rPr>
          <w:rFonts w:ascii="Times New Roman" w:hAnsi="Times New Roman"/>
          <w:sz w:val="24"/>
          <w:szCs w:val="24"/>
        </w:rPr>
        <w:t xml:space="preserve"> ή </w:t>
      </w:r>
      <w:proofErr w:type="spellStart"/>
      <w:r w:rsidRPr="00705BBC">
        <w:rPr>
          <w:rFonts w:ascii="Times New Roman" w:hAnsi="Times New Roman"/>
          <w:sz w:val="24"/>
          <w:szCs w:val="24"/>
        </w:rPr>
        <w:t>κεφεπίμης</w:t>
      </w:r>
      <w:proofErr w:type="spellEnd"/>
      <w:r w:rsidRPr="00705BBC">
        <w:rPr>
          <w:rFonts w:ascii="Times New Roman" w:hAnsi="Times New Roman"/>
          <w:sz w:val="24"/>
          <w:szCs w:val="24"/>
        </w:rPr>
        <w:t xml:space="preserve"> με </w:t>
      </w:r>
      <w:proofErr w:type="spellStart"/>
      <w:r w:rsidRPr="00705BBC">
        <w:rPr>
          <w:rFonts w:ascii="Times New Roman" w:hAnsi="Times New Roman"/>
          <w:sz w:val="24"/>
          <w:szCs w:val="24"/>
        </w:rPr>
        <w:t>μετρονιδαζόλη</w:t>
      </w:r>
      <w:proofErr w:type="spellEnd"/>
      <w:r w:rsidRPr="00705BBC">
        <w:rPr>
          <w:rFonts w:ascii="Times New Roman" w:hAnsi="Times New Roman"/>
          <w:sz w:val="24"/>
          <w:szCs w:val="24"/>
        </w:rPr>
        <w:t xml:space="preserve"> (Α-Ι)</w:t>
      </w:r>
    </w:p>
    <w:p w:rsidR="009945B0" w:rsidRPr="00705BBC" w:rsidRDefault="009945B0" w:rsidP="009945B0">
      <w:pPr>
        <w:pStyle w:val="a4"/>
        <w:numPr>
          <w:ilvl w:val="0"/>
          <w:numId w:val="9"/>
        </w:numPr>
        <w:ind w:left="426" w:hanging="426"/>
        <w:jc w:val="both"/>
        <w:rPr>
          <w:rFonts w:ascii="Times New Roman" w:hAnsi="Times New Roman"/>
          <w:sz w:val="24"/>
          <w:szCs w:val="24"/>
        </w:rPr>
      </w:pPr>
      <w:r w:rsidRPr="00705BBC">
        <w:rPr>
          <w:rFonts w:ascii="Times New Roman" w:hAnsi="Times New Roman"/>
          <w:sz w:val="24"/>
          <w:szCs w:val="24"/>
        </w:rPr>
        <w:t xml:space="preserve">Επειδή είναι συχνή η παρουσία στελεχών της </w:t>
      </w:r>
      <w:r w:rsidRPr="00705BBC">
        <w:rPr>
          <w:rFonts w:ascii="Times New Roman" w:hAnsi="Times New Roman"/>
          <w:i/>
          <w:sz w:val="24"/>
          <w:szCs w:val="24"/>
          <w:lang w:val="en-US"/>
        </w:rPr>
        <w:t>E</w:t>
      </w:r>
      <w:r w:rsidRPr="00705BBC">
        <w:rPr>
          <w:rFonts w:ascii="Times New Roman" w:hAnsi="Times New Roman"/>
          <w:i/>
          <w:sz w:val="24"/>
          <w:szCs w:val="24"/>
        </w:rPr>
        <w:t xml:space="preserve">. </w:t>
      </w:r>
      <w:r w:rsidRPr="00705BBC">
        <w:rPr>
          <w:rFonts w:ascii="Times New Roman" w:hAnsi="Times New Roman"/>
          <w:i/>
          <w:sz w:val="24"/>
          <w:szCs w:val="24"/>
          <w:lang w:val="en-US"/>
        </w:rPr>
        <w:t>coli</w:t>
      </w:r>
      <w:r w:rsidRPr="00705BBC">
        <w:rPr>
          <w:rFonts w:ascii="Times New Roman" w:hAnsi="Times New Roman"/>
          <w:sz w:val="24"/>
          <w:szCs w:val="24"/>
        </w:rPr>
        <w:t xml:space="preserve"> που είναι ανθεκτικά στις </w:t>
      </w:r>
      <w:proofErr w:type="spellStart"/>
      <w:r w:rsidRPr="00705BBC">
        <w:rPr>
          <w:rFonts w:ascii="Times New Roman" w:hAnsi="Times New Roman"/>
          <w:sz w:val="24"/>
          <w:szCs w:val="24"/>
        </w:rPr>
        <w:t>κινολόνες</w:t>
      </w:r>
      <w:proofErr w:type="spellEnd"/>
      <w:r w:rsidRPr="00705BBC">
        <w:rPr>
          <w:rFonts w:ascii="Times New Roman" w:hAnsi="Times New Roman"/>
          <w:sz w:val="24"/>
          <w:szCs w:val="24"/>
        </w:rPr>
        <w:t>, τα αντιβιοτικά αυτά θα πρέπει να χορηγούνται μόνο όταν τα επιδημιολογικά στοιχεία δείχνουν ευαισθησία στο νοσοκομειακό χώρο &gt;90% (Α-ΙΙ)</w:t>
      </w:r>
    </w:p>
    <w:p w:rsidR="009945B0" w:rsidRPr="00705BBC" w:rsidRDefault="009945B0" w:rsidP="009945B0">
      <w:pPr>
        <w:pStyle w:val="a4"/>
        <w:numPr>
          <w:ilvl w:val="0"/>
          <w:numId w:val="9"/>
        </w:numPr>
        <w:ind w:left="426" w:hanging="426"/>
        <w:jc w:val="both"/>
        <w:rPr>
          <w:rFonts w:ascii="Times New Roman" w:hAnsi="Times New Roman"/>
          <w:sz w:val="24"/>
          <w:szCs w:val="24"/>
        </w:rPr>
      </w:pPr>
      <w:r w:rsidRPr="00705BBC">
        <w:rPr>
          <w:rFonts w:ascii="Times New Roman" w:hAnsi="Times New Roman"/>
          <w:sz w:val="24"/>
          <w:szCs w:val="24"/>
        </w:rPr>
        <w:t xml:space="preserve">Η </w:t>
      </w:r>
      <w:proofErr w:type="spellStart"/>
      <w:r w:rsidRPr="00705BBC">
        <w:rPr>
          <w:rFonts w:ascii="Times New Roman" w:hAnsi="Times New Roman"/>
          <w:sz w:val="24"/>
          <w:szCs w:val="24"/>
        </w:rPr>
        <w:t>αζτρεονάμη</w:t>
      </w:r>
      <w:proofErr w:type="spellEnd"/>
      <w:r w:rsidRPr="00705BBC">
        <w:rPr>
          <w:rFonts w:ascii="Times New Roman" w:hAnsi="Times New Roman"/>
          <w:sz w:val="24"/>
          <w:szCs w:val="24"/>
        </w:rPr>
        <w:t xml:space="preserve"> σε συνδυασμό με </w:t>
      </w:r>
      <w:proofErr w:type="spellStart"/>
      <w:r w:rsidRPr="00705BBC">
        <w:rPr>
          <w:rFonts w:ascii="Times New Roman" w:hAnsi="Times New Roman"/>
          <w:sz w:val="24"/>
          <w:szCs w:val="24"/>
        </w:rPr>
        <w:t>μετρονιδαζόλη</w:t>
      </w:r>
      <w:proofErr w:type="spellEnd"/>
      <w:r w:rsidRPr="00705BBC">
        <w:rPr>
          <w:rFonts w:ascii="Times New Roman" w:hAnsi="Times New Roman"/>
          <w:sz w:val="24"/>
          <w:szCs w:val="24"/>
        </w:rPr>
        <w:t xml:space="preserve"> αποτελεί εναλλακτική επιλογή, αλλά θα πρέπει να προστίθεται ένας </w:t>
      </w:r>
      <w:proofErr w:type="spellStart"/>
      <w:r w:rsidRPr="00705BBC">
        <w:rPr>
          <w:rFonts w:ascii="Times New Roman" w:hAnsi="Times New Roman"/>
          <w:sz w:val="24"/>
          <w:szCs w:val="24"/>
        </w:rPr>
        <w:t>αντιμικροβιακός</w:t>
      </w:r>
      <w:proofErr w:type="spellEnd"/>
      <w:r w:rsidRPr="00705BBC">
        <w:rPr>
          <w:rFonts w:ascii="Times New Roman" w:hAnsi="Times New Roman"/>
          <w:sz w:val="24"/>
          <w:szCs w:val="24"/>
        </w:rPr>
        <w:t xml:space="preserve"> παράγοντας δραστικός έναντι των </w:t>
      </w:r>
      <w:r w:rsidRPr="00705BBC">
        <w:rPr>
          <w:rFonts w:ascii="Times New Roman" w:hAnsi="Times New Roman"/>
          <w:sz w:val="24"/>
          <w:szCs w:val="24"/>
          <w:lang w:val="en-US"/>
        </w:rPr>
        <w:t>Gram</w:t>
      </w:r>
      <w:r w:rsidRPr="00705BBC">
        <w:rPr>
          <w:rFonts w:ascii="Times New Roman" w:hAnsi="Times New Roman"/>
          <w:sz w:val="24"/>
          <w:szCs w:val="24"/>
        </w:rPr>
        <w:t>-θετικών κόκκων (Β-ΙΙΙ)</w:t>
      </w:r>
    </w:p>
    <w:p w:rsidR="009945B0" w:rsidRPr="00705BBC" w:rsidRDefault="009945B0" w:rsidP="009945B0">
      <w:pPr>
        <w:pStyle w:val="a4"/>
        <w:numPr>
          <w:ilvl w:val="0"/>
          <w:numId w:val="9"/>
        </w:numPr>
        <w:ind w:left="426" w:hanging="426"/>
        <w:jc w:val="both"/>
        <w:rPr>
          <w:rFonts w:ascii="Times New Roman" w:hAnsi="Times New Roman"/>
          <w:sz w:val="24"/>
          <w:szCs w:val="24"/>
        </w:rPr>
      </w:pPr>
      <w:r w:rsidRPr="00705BBC">
        <w:rPr>
          <w:rFonts w:ascii="Times New Roman" w:hAnsi="Times New Roman"/>
          <w:sz w:val="24"/>
          <w:szCs w:val="24"/>
        </w:rPr>
        <w:t xml:space="preserve">Η </w:t>
      </w:r>
      <w:r w:rsidR="00C3031A">
        <w:rPr>
          <w:rFonts w:ascii="Times New Roman" w:hAnsi="Times New Roman"/>
          <w:sz w:val="24"/>
          <w:szCs w:val="24"/>
        </w:rPr>
        <w:t xml:space="preserve">χορήγηση </w:t>
      </w:r>
      <w:proofErr w:type="spellStart"/>
      <w:r w:rsidR="00C3031A">
        <w:rPr>
          <w:rFonts w:ascii="Times New Roman" w:hAnsi="Times New Roman"/>
          <w:sz w:val="24"/>
          <w:szCs w:val="24"/>
        </w:rPr>
        <w:t>αμινογλυκοσιδών</w:t>
      </w:r>
      <w:proofErr w:type="spellEnd"/>
      <w:r w:rsidRPr="00705BBC">
        <w:rPr>
          <w:rFonts w:ascii="Times New Roman" w:hAnsi="Times New Roman"/>
          <w:sz w:val="24"/>
          <w:szCs w:val="24"/>
        </w:rPr>
        <w:t xml:space="preserve"> ή άλλου δεύτερου παράγοντα κατά των </w:t>
      </w:r>
      <w:r w:rsidR="00C3031A" w:rsidRPr="00705BBC">
        <w:rPr>
          <w:rFonts w:ascii="Times New Roman" w:hAnsi="Times New Roman"/>
          <w:sz w:val="24"/>
          <w:szCs w:val="24"/>
        </w:rPr>
        <w:t>δυνητικά αναερόβιων</w:t>
      </w:r>
      <w:r w:rsidR="00C3031A">
        <w:rPr>
          <w:rFonts w:ascii="Times New Roman" w:hAnsi="Times New Roman"/>
          <w:sz w:val="24"/>
          <w:szCs w:val="24"/>
        </w:rPr>
        <w:t>/</w:t>
      </w:r>
      <w:r w:rsidR="00C3031A" w:rsidRPr="00705BBC">
        <w:rPr>
          <w:rFonts w:ascii="Times New Roman" w:hAnsi="Times New Roman"/>
          <w:sz w:val="24"/>
          <w:szCs w:val="24"/>
        </w:rPr>
        <w:t xml:space="preserve">αερόβιων </w:t>
      </w:r>
      <w:r w:rsidRPr="00705BBC">
        <w:rPr>
          <w:rFonts w:ascii="Times New Roman" w:hAnsi="Times New Roman"/>
          <w:sz w:val="24"/>
          <w:szCs w:val="24"/>
          <w:lang w:val="en-US"/>
        </w:rPr>
        <w:t>Gram</w:t>
      </w:r>
      <w:r w:rsidRPr="00705BBC">
        <w:rPr>
          <w:rFonts w:ascii="Times New Roman" w:hAnsi="Times New Roman"/>
          <w:sz w:val="24"/>
          <w:szCs w:val="24"/>
        </w:rPr>
        <w:t>-αρνητικών βακτηριδίων δεν συνιστάται, αν απουσιάζουν ενδείξεις ότι ο ασθενής μπορεί να έχει προσβληθεί από ανθεκτικούς μικροοργανισμούς που απαιτούν μια τέτοια θεραπευτική προσέγγιση (Α-Ι)</w:t>
      </w:r>
    </w:p>
    <w:p w:rsidR="009945B0" w:rsidRPr="00705BBC" w:rsidRDefault="009945B0" w:rsidP="009945B0">
      <w:pPr>
        <w:pStyle w:val="a4"/>
        <w:numPr>
          <w:ilvl w:val="0"/>
          <w:numId w:val="9"/>
        </w:numPr>
        <w:ind w:left="426" w:hanging="426"/>
        <w:jc w:val="both"/>
        <w:rPr>
          <w:rFonts w:ascii="Times New Roman" w:hAnsi="Times New Roman"/>
          <w:sz w:val="24"/>
          <w:szCs w:val="24"/>
        </w:rPr>
      </w:pPr>
      <w:r w:rsidRPr="00705BBC">
        <w:rPr>
          <w:rFonts w:ascii="Times New Roman" w:hAnsi="Times New Roman"/>
          <w:sz w:val="24"/>
          <w:szCs w:val="24"/>
        </w:rPr>
        <w:t>Συνιστάται η εμπειρική κάλυψη των εντεροκόκκων (</w:t>
      </w:r>
      <w:r w:rsidRPr="00705BBC">
        <w:rPr>
          <w:rFonts w:ascii="Times New Roman" w:hAnsi="Times New Roman"/>
          <w:sz w:val="24"/>
          <w:szCs w:val="24"/>
          <w:lang w:val="en-US"/>
        </w:rPr>
        <w:t>B</w:t>
      </w:r>
      <w:r w:rsidRPr="00705BBC">
        <w:rPr>
          <w:rFonts w:ascii="Times New Roman" w:hAnsi="Times New Roman"/>
          <w:sz w:val="24"/>
          <w:szCs w:val="24"/>
        </w:rPr>
        <w:t>-</w:t>
      </w:r>
      <w:r w:rsidRPr="00705BBC">
        <w:rPr>
          <w:rFonts w:ascii="Times New Roman" w:hAnsi="Times New Roman"/>
          <w:sz w:val="24"/>
          <w:szCs w:val="24"/>
          <w:lang w:val="en-US"/>
        </w:rPr>
        <w:t>II</w:t>
      </w:r>
      <w:r w:rsidRPr="00705BBC">
        <w:rPr>
          <w:rFonts w:ascii="Times New Roman" w:hAnsi="Times New Roman"/>
          <w:sz w:val="24"/>
          <w:szCs w:val="24"/>
        </w:rPr>
        <w:t>)</w:t>
      </w:r>
    </w:p>
    <w:p w:rsidR="009945B0" w:rsidRPr="00705BBC" w:rsidRDefault="009945B0" w:rsidP="009945B0">
      <w:pPr>
        <w:pStyle w:val="a4"/>
        <w:numPr>
          <w:ilvl w:val="0"/>
          <w:numId w:val="9"/>
        </w:numPr>
        <w:ind w:left="426" w:hanging="426"/>
        <w:jc w:val="both"/>
        <w:rPr>
          <w:rFonts w:ascii="Times New Roman" w:hAnsi="Times New Roman"/>
          <w:sz w:val="24"/>
          <w:szCs w:val="24"/>
        </w:rPr>
      </w:pPr>
      <w:r w:rsidRPr="00705BBC">
        <w:rPr>
          <w:rFonts w:ascii="Times New Roman" w:hAnsi="Times New Roman"/>
          <w:sz w:val="24"/>
          <w:szCs w:val="24"/>
          <w:lang w:val="en-US"/>
        </w:rPr>
        <w:t>H</w:t>
      </w:r>
      <w:r w:rsidRPr="00705BBC">
        <w:rPr>
          <w:rFonts w:ascii="Times New Roman" w:hAnsi="Times New Roman"/>
          <w:sz w:val="24"/>
          <w:szCs w:val="24"/>
        </w:rPr>
        <w:t xml:space="preserve"> χορήγηση παραγόντων έναντι του </w:t>
      </w:r>
      <w:r w:rsidRPr="00705BBC">
        <w:rPr>
          <w:rFonts w:ascii="Times New Roman" w:hAnsi="Times New Roman"/>
          <w:sz w:val="24"/>
          <w:szCs w:val="24"/>
          <w:lang w:val="en-US"/>
        </w:rPr>
        <w:t>MRSA</w:t>
      </w:r>
      <w:r w:rsidRPr="00705BBC">
        <w:rPr>
          <w:rFonts w:ascii="Times New Roman" w:hAnsi="Times New Roman"/>
          <w:sz w:val="24"/>
          <w:szCs w:val="24"/>
        </w:rPr>
        <w:t xml:space="preserve"> (</w:t>
      </w:r>
      <w:r w:rsidRPr="00705BBC">
        <w:rPr>
          <w:rFonts w:ascii="Times New Roman" w:hAnsi="Times New Roman"/>
          <w:sz w:val="24"/>
          <w:szCs w:val="24"/>
          <w:lang w:val="en-US"/>
        </w:rPr>
        <w:t>Methicillin</w:t>
      </w:r>
      <w:r w:rsidRPr="00705BBC">
        <w:rPr>
          <w:rFonts w:ascii="Times New Roman" w:hAnsi="Times New Roman"/>
          <w:sz w:val="24"/>
          <w:szCs w:val="24"/>
        </w:rPr>
        <w:t xml:space="preserve"> </w:t>
      </w:r>
      <w:r w:rsidRPr="00705BBC">
        <w:rPr>
          <w:rFonts w:ascii="Times New Roman" w:hAnsi="Times New Roman"/>
          <w:sz w:val="24"/>
          <w:szCs w:val="24"/>
          <w:lang w:val="en-US"/>
        </w:rPr>
        <w:t>Resistant</w:t>
      </w:r>
      <w:r w:rsidRPr="00705BBC">
        <w:rPr>
          <w:rFonts w:ascii="Times New Roman" w:hAnsi="Times New Roman"/>
          <w:sz w:val="24"/>
          <w:szCs w:val="24"/>
        </w:rPr>
        <w:t xml:space="preserve"> </w:t>
      </w:r>
      <w:r w:rsidRPr="00705BBC">
        <w:rPr>
          <w:rFonts w:ascii="Times New Roman" w:hAnsi="Times New Roman"/>
          <w:sz w:val="24"/>
          <w:szCs w:val="24"/>
          <w:lang w:val="en-US"/>
        </w:rPr>
        <w:t>Staphylococcus</w:t>
      </w:r>
      <w:r w:rsidRPr="00705BBC">
        <w:rPr>
          <w:rFonts w:ascii="Times New Roman" w:hAnsi="Times New Roman"/>
          <w:sz w:val="24"/>
          <w:szCs w:val="24"/>
        </w:rPr>
        <w:t xml:space="preserve"> </w:t>
      </w:r>
      <w:r w:rsidRPr="00705BBC">
        <w:rPr>
          <w:rFonts w:ascii="Times New Roman" w:hAnsi="Times New Roman"/>
          <w:sz w:val="24"/>
          <w:szCs w:val="24"/>
          <w:lang w:val="en-US"/>
        </w:rPr>
        <w:t>Aureus</w:t>
      </w:r>
      <w:r w:rsidRPr="00705BBC">
        <w:rPr>
          <w:rFonts w:ascii="Times New Roman" w:hAnsi="Times New Roman"/>
          <w:sz w:val="24"/>
          <w:szCs w:val="24"/>
        </w:rPr>
        <w:t>) και των μυκήτων δεν συνιστάται αν απουσιάζουν ενδείξεις λοίμωξης που οφείλεται σ αυτά τα παθογόνα (Β-ΙΙΙ)</w:t>
      </w:r>
    </w:p>
    <w:p w:rsidR="009945B0" w:rsidRPr="00705BBC" w:rsidRDefault="009945B0" w:rsidP="009945B0">
      <w:pPr>
        <w:pStyle w:val="a4"/>
        <w:numPr>
          <w:ilvl w:val="0"/>
          <w:numId w:val="9"/>
        </w:numPr>
        <w:ind w:left="426" w:hanging="426"/>
        <w:jc w:val="both"/>
        <w:rPr>
          <w:rFonts w:ascii="Times New Roman" w:hAnsi="Times New Roman"/>
          <w:sz w:val="24"/>
          <w:szCs w:val="24"/>
        </w:rPr>
      </w:pPr>
      <w:r w:rsidRPr="00705BBC">
        <w:rPr>
          <w:rFonts w:ascii="Times New Roman" w:hAnsi="Times New Roman"/>
          <w:sz w:val="24"/>
          <w:szCs w:val="24"/>
        </w:rPr>
        <w:t>Σ αυτούς τους ασθενείς που θεωρούνται υψηλού κινδύνου, η επιλογή των αντιβιοτικών θα πρέπει να στηρίζεται στα αποτελέσματα των καλλιεργειών και των δοκιμασιών ευαισθησίας, ούτως ώστε να διασφαλίζεται κατά το δυνατόν η αποτελεσματική δράση τους έναντι των επικρατέστερων παθογόνων μικροβίων     (Α-ΙΙΙ)</w:t>
      </w:r>
    </w:p>
    <w:p w:rsidR="009945B0" w:rsidRPr="00705BBC" w:rsidRDefault="009945B0" w:rsidP="009945B0">
      <w:pPr>
        <w:jc w:val="both"/>
      </w:pPr>
    </w:p>
    <w:p w:rsidR="00C3031A" w:rsidRDefault="009945B0" w:rsidP="009945B0">
      <w:pPr>
        <w:jc w:val="both"/>
        <w:rPr>
          <w:b/>
        </w:rPr>
      </w:pPr>
      <w:r w:rsidRPr="00705BBC">
        <w:rPr>
          <w:b/>
        </w:rPr>
        <w:t>ΕΝΔΟΚΟΙΛΙΑΚΕΣ ΛΟΙΙΜΩΞΕΙΣ ΠΟΥ ΣΧΕΤΙΖΟΝΤΑΙ ΜΕ ΤΗΝ ΟΞΕΙΑ Η ΧΡΟΝΙΑ ΠΑΡΟΧΗ ΦΡΟΝΤΙΔΑΣ ΥΓΕΙΑΣ</w:t>
      </w:r>
    </w:p>
    <w:p w:rsidR="009945B0" w:rsidRPr="00705BBC" w:rsidRDefault="009945B0" w:rsidP="009945B0">
      <w:pPr>
        <w:jc w:val="both"/>
      </w:pPr>
      <w:r w:rsidRPr="00705BBC">
        <w:lastRenderedPageBreak/>
        <w:t>Ο όρος “</w:t>
      </w:r>
      <w:r w:rsidRPr="00705BBC">
        <w:rPr>
          <w:lang w:val="en-US"/>
        </w:rPr>
        <w:t>health</w:t>
      </w:r>
      <w:r w:rsidRPr="00705BBC">
        <w:t>-</w:t>
      </w:r>
      <w:r w:rsidRPr="00705BBC">
        <w:rPr>
          <w:lang w:val="en-US"/>
        </w:rPr>
        <w:t>associated</w:t>
      </w:r>
      <w:r w:rsidRPr="00705BBC">
        <w:t xml:space="preserve"> </w:t>
      </w:r>
      <w:r w:rsidRPr="00705BBC">
        <w:rPr>
          <w:lang w:val="en-US"/>
        </w:rPr>
        <w:t>infection</w:t>
      </w:r>
      <w:r w:rsidRPr="00705BBC">
        <w:t xml:space="preserve">” εκφράζει στην πράξη τον αυξημένο κίνδυνο λοίμωξης από </w:t>
      </w:r>
      <w:proofErr w:type="spellStart"/>
      <w:r w:rsidRPr="00705BBC">
        <w:t>πολυανθεκτικά</w:t>
      </w:r>
      <w:proofErr w:type="spellEnd"/>
      <w:r w:rsidRPr="00705BBC">
        <w:t xml:space="preserve"> μικρόβια και μπορεί να αναφέρεται σε παθολογικές καταστάσεις που ανεξάρτητα αν έχουν ως αφετηρία το νοσοκομειακό περιβάλλον ή την κοινότητα, ακολουθούν τη «νοσοκομειακή» </w:t>
      </w:r>
      <w:proofErr w:type="spellStart"/>
      <w:r w:rsidRPr="00705BBC">
        <w:t>παθοφυσιολογία</w:t>
      </w:r>
      <w:proofErr w:type="spellEnd"/>
      <w:r w:rsidRPr="00705BBC">
        <w:t xml:space="preserve">.                    </w:t>
      </w:r>
    </w:p>
    <w:p w:rsidR="009945B0" w:rsidRPr="00705BBC" w:rsidRDefault="009945B0" w:rsidP="009945B0">
      <w:pPr>
        <w:pStyle w:val="a4"/>
        <w:numPr>
          <w:ilvl w:val="0"/>
          <w:numId w:val="10"/>
        </w:numPr>
        <w:ind w:left="426" w:hanging="426"/>
        <w:jc w:val="both"/>
        <w:rPr>
          <w:rFonts w:ascii="Times New Roman" w:hAnsi="Times New Roman"/>
          <w:sz w:val="24"/>
          <w:szCs w:val="24"/>
        </w:rPr>
      </w:pPr>
      <w:r w:rsidRPr="00705BBC">
        <w:rPr>
          <w:rFonts w:ascii="Times New Roman" w:hAnsi="Times New Roman"/>
          <w:sz w:val="24"/>
          <w:szCs w:val="24"/>
        </w:rPr>
        <w:t>Η εμπειρική αντιμικροβιακή θεραπεία για τις νοσοκομειακές ενδοκοιλιακές λοιμώξεις θα πρέπει να καθοδηγείται από τα τοπικά μικροβιολογικά δεδομένα (Α-ΙΙ)</w:t>
      </w:r>
    </w:p>
    <w:p w:rsidR="009945B0" w:rsidRPr="00705BBC" w:rsidRDefault="009945B0" w:rsidP="009945B0">
      <w:pPr>
        <w:pStyle w:val="a4"/>
        <w:numPr>
          <w:ilvl w:val="0"/>
          <w:numId w:val="10"/>
        </w:numPr>
        <w:ind w:left="426" w:hanging="426"/>
        <w:jc w:val="both"/>
        <w:rPr>
          <w:rFonts w:ascii="Times New Roman" w:hAnsi="Times New Roman"/>
          <w:sz w:val="24"/>
          <w:szCs w:val="24"/>
        </w:rPr>
      </w:pPr>
      <w:r w:rsidRPr="00705BBC">
        <w:rPr>
          <w:rFonts w:ascii="Times New Roman" w:hAnsi="Times New Roman"/>
          <w:sz w:val="24"/>
          <w:szCs w:val="24"/>
        </w:rPr>
        <w:t xml:space="preserve">Μπορεί να υπάρξει αναγκαιότητα χορήγησης σύνθετου </w:t>
      </w:r>
      <w:proofErr w:type="spellStart"/>
      <w:r w:rsidRPr="00705BBC">
        <w:rPr>
          <w:rFonts w:ascii="Times New Roman" w:hAnsi="Times New Roman"/>
          <w:sz w:val="24"/>
          <w:szCs w:val="24"/>
        </w:rPr>
        <w:t>αντιμικροβιακού</w:t>
      </w:r>
      <w:proofErr w:type="spellEnd"/>
      <w:r w:rsidRPr="00705BBC">
        <w:rPr>
          <w:rFonts w:ascii="Times New Roman" w:hAnsi="Times New Roman"/>
          <w:sz w:val="24"/>
          <w:szCs w:val="24"/>
        </w:rPr>
        <w:t xml:space="preserve"> σχήματος προκειμένου να καλυφθεί το ευρύ φάσμα των μικροβίων που μπορεί να εμπλέκονται στη λοίμωξη. Στους κατάλληλους παράγοντες περιλαμβάνονται η </w:t>
      </w:r>
      <w:proofErr w:type="spellStart"/>
      <w:r w:rsidRPr="00705BBC">
        <w:rPr>
          <w:rFonts w:ascii="Times New Roman" w:hAnsi="Times New Roman"/>
          <w:sz w:val="24"/>
          <w:szCs w:val="24"/>
        </w:rPr>
        <w:t>μεροπενέμη</w:t>
      </w:r>
      <w:proofErr w:type="spellEnd"/>
      <w:r w:rsidRPr="00705BBC">
        <w:rPr>
          <w:rFonts w:ascii="Times New Roman" w:hAnsi="Times New Roman"/>
          <w:sz w:val="24"/>
          <w:szCs w:val="24"/>
        </w:rPr>
        <w:t xml:space="preserve">, η </w:t>
      </w:r>
      <w:proofErr w:type="spellStart"/>
      <w:r w:rsidRPr="00705BBC">
        <w:rPr>
          <w:rFonts w:ascii="Times New Roman" w:hAnsi="Times New Roman"/>
          <w:sz w:val="24"/>
          <w:szCs w:val="24"/>
        </w:rPr>
        <w:t>ιμιπενέμη</w:t>
      </w:r>
      <w:proofErr w:type="spellEnd"/>
      <w:r w:rsidRPr="00705BBC">
        <w:rPr>
          <w:rFonts w:ascii="Times New Roman" w:hAnsi="Times New Roman"/>
          <w:sz w:val="24"/>
          <w:szCs w:val="24"/>
        </w:rPr>
        <w:t>-</w:t>
      </w:r>
      <w:proofErr w:type="spellStart"/>
      <w:r w:rsidRPr="00705BBC">
        <w:rPr>
          <w:rFonts w:ascii="Times New Roman" w:hAnsi="Times New Roman"/>
          <w:sz w:val="24"/>
          <w:szCs w:val="24"/>
        </w:rPr>
        <w:t>σιλαστατίνη</w:t>
      </w:r>
      <w:proofErr w:type="spellEnd"/>
      <w:r w:rsidRPr="00705BBC">
        <w:rPr>
          <w:rFonts w:ascii="Times New Roman" w:hAnsi="Times New Roman"/>
          <w:sz w:val="24"/>
          <w:szCs w:val="24"/>
        </w:rPr>
        <w:t xml:space="preserve">, η </w:t>
      </w:r>
      <w:proofErr w:type="spellStart"/>
      <w:r w:rsidRPr="00705BBC">
        <w:rPr>
          <w:rFonts w:ascii="Times New Roman" w:hAnsi="Times New Roman"/>
          <w:sz w:val="24"/>
          <w:szCs w:val="24"/>
        </w:rPr>
        <w:t>δοριπενέμη</w:t>
      </w:r>
      <w:proofErr w:type="spellEnd"/>
      <w:r w:rsidRPr="00705BBC">
        <w:rPr>
          <w:rFonts w:ascii="Times New Roman" w:hAnsi="Times New Roman"/>
          <w:sz w:val="24"/>
          <w:szCs w:val="24"/>
        </w:rPr>
        <w:t xml:space="preserve">, η </w:t>
      </w:r>
      <w:proofErr w:type="spellStart"/>
      <w:r w:rsidRPr="00705BBC">
        <w:rPr>
          <w:rFonts w:ascii="Times New Roman" w:hAnsi="Times New Roman"/>
          <w:sz w:val="24"/>
          <w:szCs w:val="24"/>
        </w:rPr>
        <w:t>πιπερακιλίνη</w:t>
      </w:r>
      <w:proofErr w:type="spellEnd"/>
      <w:r w:rsidRPr="00705BBC">
        <w:rPr>
          <w:rFonts w:ascii="Times New Roman" w:hAnsi="Times New Roman"/>
          <w:sz w:val="24"/>
          <w:szCs w:val="24"/>
        </w:rPr>
        <w:t>-</w:t>
      </w:r>
      <w:proofErr w:type="spellStart"/>
      <w:r w:rsidRPr="00705BBC">
        <w:rPr>
          <w:rFonts w:ascii="Times New Roman" w:hAnsi="Times New Roman"/>
          <w:sz w:val="24"/>
          <w:szCs w:val="24"/>
        </w:rPr>
        <w:t>ταζομπακτάμη</w:t>
      </w:r>
      <w:proofErr w:type="spellEnd"/>
      <w:r w:rsidRPr="00705BBC">
        <w:rPr>
          <w:rFonts w:ascii="Times New Roman" w:hAnsi="Times New Roman"/>
          <w:sz w:val="24"/>
          <w:szCs w:val="24"/>
        </w:rPr>
        <w:t xml:space="preserve"> καθώς και ο συνδυασμός </w:t>
      </w:r>
      <w:proofErr w:type="spellStart"/>
      <w:r w:rsidRPr="00705BBC">
        <w:rPr>
          <w:rFonts w:ascii="Times New Roman" w:hAnsi="Times New Roman"/>
          <w:sz w:val="24"/>
          <w:szCs w:val="24"/>
        </w:rPr>
        <w:t>κεφταζιδίμης</w:t>
      </w:r>
      <w:proofErr w:type="spellEnd"/>
      <w:r w:rsidRPr="00705BBC">
        <w:rPr>
          <w:rFonts w:ascii="Times New Roman" w:hAnsi="Times New Roman"/>
          <w:sz w:val="24"/>
          <w:szCs w:val="24"/>
        </w:rPr>
        <w:t xml:space="preserve"> ή </w:t>
      </w:r>
      <w:proofErr w:type="spellStart"/>
      <w:r w:rsidRPr="00705BBC">
        <w:rPr>
          <w:rFonts w:ascii="Times New Roman" w:hAnsi="Times New Roman"/>
          <w:sz w:val="24"/>
          <w:szCs w:val="24"/>
        </w:rPr>
        <w:t>κεφεπίμης</w:t>
      </w:r>
      <w:proofErr w:type="spellEnd"/>
      <w:r w:rsidRPr="00705BBC">
        <w:rPr>
          <w:rFonts w:ascii="Times New Roman" w:hAnsi="Times New Roman"/>
          <w:sz w:val="24"/>
          <w:szCs w:val="24"/>
        </w:rPr>
        <w:t xml:space="preserve"> με </w:t>
      </w:r>
      <w:proofErr w:type="spellStart"/>
      <w:r w:rsidRPr="00705BBC">
        <w:rPr>
          <w:rFonts w:ascii="Times New Roman" w:hAnsi="Times New Roman"/>
          <w:sz w:val="24"/>
          <w:szCs w:val="24"/>
        </w:rPr>
        <w:t>μετρονιδαζόλη</w:t>
      </w:r>
      <w:proofErr w:type="spellEnd"/>
      <w:r w:rsidRPr="00705BBC">
        <w:rPr>
          <w:rFonts w:ascii="Times New Roman" w:hAnsi="Times New Roman"/>
          <w:sz w:val="24"/>
          <w:szCs w:val="24"/>
        </w:rPr>
        <w:t xml:space="preserve">. Είναι ακόμη πιθανό να χρειασθεί να χορηγηθούν </w:t>
      </w:r>
      <w:proofErr w:type="spellStart"/>
      <w:r w:rsidRPr="00705BBC">
        <w:rPr>
          <w:rFonts w:ascii="Times New Roman" w:hAnsi="Times New Roman"/>
          <w:sz w:val="24"/>
          <w:szCs w:val="24"/>
        </w:rPr>
        <w:t>αμινογλυκοσίδες</w:t>
      </w:r>
      <w:proofErr w:type="spellEnd"/>
      <w:r w:rsidRPr="00705BBC">
        <w:rPr>
          <w:rFonts w:ascii="Times New Roman" w:hAnsi="Times New Roman"/>
          <w:sz w:val="24"/>
          <w:szCs w:val="24"/>
        </w:rPr>
        <w:t xml:space="preserve"> ή </w:t>
      </w:r>
      <w:proofErr w:type="spellStart"/>
      <w:r w:rsidRPr="00705BBC">
        <w:rPr>
          <w:rFonts w:ascii="Times New Roman" w:hAnsi="Times New Roman"/>
          <w:sz w:val="24"/>
          <w:szCs w:val="24"/>
        </w:rPr>
        <w:t>κολιστίνη</w:t>
      </w:r>
      <w:proofErr w:type="spellEnd"/>
      <w:r w:rsidRPr="00705BBC">
        <w:rPr>
          <w:rFonts w:ascii="Times New Roman" w:hAnsi="Times New Roman"/>
          <w:sz w:val="24"/>
          <w:szCs w:val="24"/>
        </w:rPr>
        <w:t xml:space="preserve"> (Β-ΙΙΙ)</w:t>
      </w:r>
    </w:p>
    <w:p w:rsidR="009945B0" w:rsidRPr="00705BBC" w:rsidRDefault="00C3031A" w:rsidP="009945B0">
      <w:pPr>
        <w:pStyle w:val="a4"/>
        <w:numPr>
          <w:ilvl w:val="0"/>
          <w:numId w:val="10"/>
        </w:numPr>
        <w:ind w:left="426" w:hanging="426"/>
        <w:jc w:val="both"/>
        <w:rPr>
          <w:rFonts w:ascii="Times New Roman" w:hAnsi="Times New Roman"/>
          <w:sz w:val="24"/>
          <w:szCs w:val="24"/>
        </w:rPr>
      </w:pPr>
      <w:r>
        <w:rPr>
          <w:rFonts w:ascii="Times New Roman" w:hAnsi="Times New Roman"/>
          <w:sz w:val="24"/>
          <w:szCs w:val="24"/>
        </w:rPr>
        <w:t>Η</w:t>
      </w:r>
      <w:r w:rsidR="009945B0" w:rsidRPr="00705BBC">
        <w:rPr>
          <w:rFonts w:ascii="Times New Roman" w:hAnsi="Times New Roman"/>
          <w:sz w:val="24"/>
          <w:szCs w:val="24"/>
        </w:rPr>
        <w:t xml:space="preserve"> αντιμικροβιακή θεραπεία θα πρέπει να προσαρμοσθεί σύμφωνα με τα αποτελέσματα των καλλιεργειών και των δοκιμασιών ευαισθησίας, (</w:t>
      </w:r>
      <w:r w:rsidR="009945B0" w:rsidRPr="00705BBC">
        <w:rPr>
          <w:rFonts w:ascii="Times New Roman" w:hAnsi="Times New Roman"/>
          <w:sz w:val="24"/>
          <w:szCs w:val="24"/>
          <w:lang w:val="en-US"/>
        </w:rPr>
        <w:t>B</w:t>
      </w:r>
      <w:r w:rsidR="009945B0" w:rsidRPr="00705BBC">
        <w:rPr>
          <w:rFonts w:ascii="Times New Roman" w:hAnsi="Times New Roman"/>
          <w:sz w:val="24"/>
          <w:szCs w:val="24"/>
        </w:rPr>
        <w:t>-</w:t>
      </w:r>
      <w:r w:rsidR="009945B0" w:rsidRPr="00705BBC">
        <w:rPr>
          <w:rFonts w:ascii="Times New Roman" w:hAnsi="Times New Roman"/>
          <w:sz w:val="24"/>
          <w:szCs w:val="24"/>
          <w:lang w:val="en-US"/>
        </w:rPr>
        <w:t>III</w:t>
      </w:r>
      <w:r w:rsidR="009945B0" w:rsidRPr="00705BBC">
        <w:rPr>
          <w:rFonts w:ascii="Times New Roman" w:hAnsi="Times New Roman"/>
          <w:sz w:val="24"/>
          <w:szCs w:val="24"/>
        </w:rPr>
        <w:t>)</w:t>
      </w:r>
    </w:p>
    <w:p w:rsidR="009945B0" w:rsidRPr="00705BBC" w:rsidRDefault="009945B0" w:rsidP="009945B0">
      <w:pPr>
        <w:pStyle w:val="a4"/>
        <w:numPr>
          <w:ilvl w:val="0"/>
          <w:numId w:val="10"/>
        </w:numPr>
        <w:ind w:left="426" w:hanging="426"/>
        <w:jc w:val="both"/>
        <w:rPr>
          <w:rFonts w:ascii="Times New Roman" w:hAnsi="Times New Roman"/>
          <w:sz w:val="24"/>
          <w:szCs w:val="24"/>
        </w:rPr>
      </w:pPr>
      <w:r w:rsidRPr="00705BBC">
        <w:rPr>
          <w:rFonts w:ascii="Times New Roman" w:hAnsi="Times New Roman"/>
          <w:sz w:val="24"/>
          <w:szCs w:val="24"/>
        </w:rPr>
        <w:t xml:space="preserve">Σε περιστατικά με σοβαρή λοίμωξη, </w:t>
      </w:r>
      <w:r w:rsidR="00C3031A" w:rsidRPr="00705BBC">
        <w:rPr>
          <w:rFonts w:ascii="Times New Roman" w:hAnsi="Times New Roman"/>
          <w:sz w:val="24"/>
          <w:szCs w:val="24"/>
        </w:rPr>
        <w:t>ν</w:t>
      </w:r>
      <w:r w:rsidR="00C3031A">
        <w:rPr>
          <w:rFonts w:ascii="Times New Roman" w:hAnsi="Times New Roman"/>
          <w:sz w:val="24"/>
          <w:szCs w:val="24"/>
        </w:rPr>
        <w:t>οσοκομειακή ή από την κοινότητα</w:t>
      </w:r>
      <w:r w:rsidR="00C3031A" w:rsidRPr="00705BBC">
        <w:rPr>
          <w:rFonts w:ascii="Times New Roman" w:hAnsi="Times New Roman"/>
          <w:sz w:val="24"/>
          <w:szCs w:val="24"/>
        </w:rPr>
        <w:t xml:space="preserve">, αν οι ενδοκοιλιακές καλλιέργειες απομονώνουν στελέχη </w:t>
      </w:r>
      <w:r w:rsidR="00C3031A" w:rsidRPr="00705BBC">
        <w:rPr>
          <w:rFonts w:ascii="Times New Roman" w:hAnsi="Times New Roman"/>
          <w:i/>
          <w:sz w:val="24"/>
          <w:szCs w:val="24"/>
          <w:lang w:val="en-US"/>
        </w:rPr>
        <w:t>Candid</w:t>
      </w:r>
      <w:r w:rsidR="00C3031A">
        <w:rPr>
          <w:rFonts w:ascii="Times New Roman" w:hAnsi="Times New Roman"/>
          <w:i/>
          <w:sz w:val="24"/>
          <w:szCs w:val="24"/>
          <w:lang w:val="en-US"/>
        </w:rPr>
        <w:t>a</w:t>
      </w:r>
      <w:r w:rsidRPr="00705BBC">
        <w:rPr>
          <w:rFonts w:ascii="Times New Roman" w:hAnsi="Times New Roman"/>
          <w:sz w:val="24"/>
          <w:szCs w:val="24"/>
        </w:rPr>
        <w:t xml:space="preserve">, θα πρέπει να χορηγείται η κατάλληλη </w:t>
      </w:r>
      <w:proofErr w:type="spellStart"/>
      <w:r w:rsidRPr="00705BBC">
        <w:rPr>
          <w:rFonts w:ascii="Times New Roman" w:hAnsi="Times New Roman"/>
          <w:sz w:val="24"/>
          <w:szCs w:val="24"/>
        </w:rPr>
        <w:t>αντιμυκητιασική</w:t>
      </w:r>
      <w:proofErr w:type="spellEnd"/>
      <w:r w:rsidRPr="00705BBC">
        <w:rPr>
          <w:rFonts w:ascii="Times New Roman" w:hAnsi="Times New Roman"/>
          <w:sz w:val="24"/>
          <w:szCs w:val="24"/>
        </w:rPr>
        <w:t xml:space="preserve"> αγωγή (Β-ΙΙ)</w:t>
      </w:r>
    </w:p>
    <w:p w:rsidR="009945B0" w:rsidRPr="00705BBC" w:rsidRDefault="009945B0" w:rsidP="009945B0">
      <w:pPr>
        <w:pStyle w:val="a4"/>
        <w:numPr>
          <w:ilvl w:val="0"/>
          <w:numId w:val="10"/>
        </w:numPr>
        <w:ind w:left="426" w:hanging="426"/>
        <w:jc w:val="both"/>
        <w:rPr>
          <w:rFonts w:ascii="Times New Roman" w:hAnsi="Times New Roman"/>
          <w:sz w:val="24"/>
          <w:szCs w:val="24"/>
        </w:rPr>
      </w:pPr>
      <w:r w:rsidRPr="00705BBC">
        <w:rPr>
          <w:rFonts w:ascii="Times New Roman" w:hAnsi="Times New Roman"/>
          <w:sz w:val="24"/>
          <w:szCs w:val="24"/>
        </w:rPr>
        <w:t xml:space="preserve">Για την </w:t>
      </w:r>
      <w:r w:rsidRPr="00705BBC">
        <w:rPr>
          <w:rFonts w:ascii="Times New Roman" w:hAnsi="Times New Roman"/>
          <w:i/>
          <w:sz w:val="24"/>
          <w:szCs w:val="24"/>
          <w:lang w:val="en-US"/>
        </w:rPr>
        <w:t>C</w:t>
      </w:r>
      <w:r w:rsidRPr="00705BBC">
        <w:rPr>
          <w:rFonts w:ascii="Times New Roman" w:hAnsi="Times New Roman"/>
          <w:i/>
          <w:sz w:val="24"/>
          <w:szCs w:val="24"/>
        </w:rPr>
        <w:t xml:space="preserve">. </w:t>
      </w:r>
      <w:proofErr w:type="spellStart"/>
      <w:r w:rsidRPr="00705BBC">
        <w:rPr>
          <w:rFonts w:ascii="Times New Roman" w:hAnsi="Times New Roman"/>
          <w:i/>
          <w:sz w:val="24"/>
          <w:szCs w:val="24"/>
          <w:lang w:val="en-US"/>
        </w:rPr>
        <w:t>albicans</w:t>
      </w:r>
      <w:proofErr w:type="spellEnd"/>
      <w:r w:rsidRPr="00705BBC">
        <w:rPr>
          <w:rFonts w:ascii="Times New Roman" w:hAnsi="Times New Roman"/>
          <w:sz w:val="24"/>
          <w:szCs w:val="24"/>
        </w:rPr>
        <w:t xml:space="preserve"> η κατάλληλη θεραπευτική επιλογή είναι η </w:t>
      </w:r>
      <w:proofErr w:type="spellStart"/>
      <w:r w:rsidRPr="00705BBC">
        <w:rPr>
          <w:rFonts w:ascii="Times New Roman" w:hAnsi="Times New Roman"/>
          <w:sz w:val="24"/>
          <w:szCs w:val="24"/>
        </w:rPr>
        <w:t>φλουκοναζόλη</w:t>
      </w:r>
      <w:proofErr w:type="spellEnd"/>
      <w:r w:rsidRPr="00705BBC">
        <w:rPr>
          <w:rFonts w:ascii="Times New Roman" w:hAnsi="Times New Roman"/>
          <w:sz w:val="24"/>
          <w:szCs w:val="24"/>
        </w:rPr>
        <w:t xml:space="preserve">   (Β-ΙΙ)</w:t>
      </w:r>
    </w:p>
    <w:p w:rsidR="009945B0" w:rsidRPr="00705BBC" w:rsidRDefault="009945B0" w:rsidP="009945B0">
      <w:pPr>
        <w:pStyle w:val="a4"/>
        <w:numPr>
          <w:ilvl w:val="0"/>
          <w:numId w:val="10"/>
        </w:numPr>
        <w:ind w:left="426" w:hanging="426"/>
        <w:jc w:val="both"/>
        <w:rPr>
          <w:rFonts w:ascii="Times New Roman" w:hAnsi="Times New Roman"/>
          <w:sz w:val="24"/>
          <w:szCs w:val="24"/>
        </w:rPr>
      </w:pPr>
      <w:r w:rsidRPr="00705BBC">
        <w:rPr>
          <w:rFonts w:ascii="Times New Roman" w:hAnsi="Times New Roman"/>
          <w:sz w:val="24"/>
          <w:szCs w:val="24"/>
        </w:rPr>
        <w:t xml:space="preserve">Για τα ανθεκτικά στη </w:t>
      </w:r>
      <w:proofErr w:type="spellStart"/>
      <w:r w:rsidRPr="00705BBC">
        <w:rPr>
          <w:rFonts w:ascii="Times New Roman" w:hAnsi="Times New Roman"/>
          <w:sz w:val="24"/>
          <w:szCs w:val="24"/>
        </w:rPr>
        <w:t>φλουκοναζόλη</w:t>
      </w:r>
      <w:proofErr w:type="spellEnd"/>
      <w:r w:rsidRPr="00705BBC">
        <w:rPr>
          <w:rFonts w:ascii="Times New Roman" w:hAnsi="Times New Roman"/>
          <w:sz w:val="24"/>
          <w:szCs w:val="24"/>
        </w:rPr>
        <w:t xml:space="preserve"> στελέχη </w:t>
      </w:r>
      <w:r w:rsidRPr="00705BBC">
        <w:rPr>
          <w:rFonts w:ascii="Times New Roman" w:hAnsi="Times New Roman"/>
          <w:i/>
          <w:sz w:val="24"/>
          <w:szCs w:val="24"/>
          <w:lang w:val="en-US"/>
        </w:rPr>
        <w:t>Candida</w:t>
      </w:r>
      <w:r w:rsidRPr="00705BBC">
        <w:rPr>
          <w:rFonts w:ascii="Times New Roman" w:hAnsi="Times New Roman"/>
          <w:sz w:val="24"/>
          <w:szCs w:val="24"/>
        </w:rPr>
        <w:t xml:space="preserve">, κατάλληλη θεραπευτική επιλογή αποτελούν οι </w:t>
      </w:r>
      <w:proofErr w:type="spellStart"/>
      <w:r w:rsidRPr="00705BBC">
        <w:rPr>
          <w:rFonts w:ascii="Times New Roman" w:hAnsi="Times New Roman"/>
          <w:sz w:val="24"/>
          <w:szCs w:val="24"/>
        </w:rPr>
        <w:t>εχινοκανδίνες</w:t>
      </w:r>
      <w:proofErr w:type="spellEnd"/>
      <w:r w:rsidRPr="00705BBC">
        <w:rPr>
          <w:rFonts w:ascii="Times New Roman" w:hAnsi="Times New Roman"/>
          <w:sz w:val="24"/>
          <w:szCs w:val="24"/>
        </w:rPr>
        <w:t xml:space="preserve"> (</w:t>
      </w:r>
      <w:proofErr w:type="spellStart"/>
      <w:r w:rsidRPr="00705BBC">
        <w:rPr>
          <w:rFonts w:ascii="Times New Roman" w:hAnsi="Times New Roman"/>
          <w:sz w:val="24"/>
          <w:szCs w:val="24"/>
        </w:rPr>
        <w:t>κασποφουγκίνη</w:t>
      </w:r>
      <w:proofErr w:type="spellEnd"/>
      <w:r w:rsidRPr="00705BBC">
        <w:rPr>
          <w:rFonts w:ascii="Times New Roman" w:hAnsi="Times New Roman"/>
          <w:sz w:val="24"/>
          <w:szCs w:val="24"/>
        </w:rPr>
        <w:t xml:space="preserve">, </w:t>
      </w:r>
      <w:proofErr w:type="spellStart"/>
      <w:r w:rsidRPr="00705BBC">
        <w:rPr>
          <w:rFonts w:ascii="Times New Roman" w:hAnsi="Times New Roman"/>
          <w:sz w:val="24"/>
          <w:szCs w:val="24"/>
        </w:rPr>
        <w:t>μικαφουγκίνη</w:t>
      </w:r>
      <w:proofErr w:type="spellEnd"/>
      <w:r w:rsidRPr="00705BBC">
        <w:rPr>
          <w:rFonts w:ascii="Times New Roman" w:hAnsi="Times New Roman"/>
          <w:sz w:val="24"/>
          <w:szCs w:val="24"/>
        </w:rPr>
        <w:t xml:space="preserve">, </w:t>
      </w:r>
      <w:proofErr w:type="spellStart"/>
      <w:r w:rsidRPr="00705BBC">
        <w:rPr>
          <w:rFonts w:ascii="Times New Roman" w:hAnsi="Times New Roman"/>
          <w:sz w:val="24"/>
          <w:szCs w:val="24"/>
        </w:rPr>
        <w:t>ανιδουλαφουγκίνη</w:t>
      </w:r>
      <w:proofErr w:type="spellEnd"/>
      <w:r w:rsidRPr="00705BBC">
        <w:rPr>
          <w:rFonts w:ascii="Times New Roman" w:hAnsi="Times New Roman"/>
          <w:sz w:val="24"/>
          <w:szCs w:val="24"/>
        </w:rPr>
        <w:t>) (Β-ΙΙΙ)</w:t>
      </w:r>
    </w:p>
    <w:p w:rsidR="009945B0" w:rsidRPr="00705BBC" w:rsidRDefault="009945B0" w:rsidP="009945B0">
      <w:pPr>
        <w:pStyle w:val="a4"/>
        <w:numPr>
          <w:ilvl w:val="0"/>
          <w:numId w:val="10"/>
        </w:numPr>
        <w:ind w:left="426" w:hanging="426"/>
        <w:jc w:val="both"/>
        <w:rPr>
          <w:rFonts w:ascii="Times New Roman" w:hAnsi="Times New Roman"/>
          <w:sz w:val="24"/>
          <w:szCs w:val="24"/>
        </w:rPr>
      </w:pPr>
      <w:r w:rsidRPr="00705BBC">
        <w:rPr>
          <w:rFonts w:ascii="Times New Roman" w:hAnsi="Times New Roman"/>
          <w:sz w:val="24"/>
          <w:szCs w:val="24"/>
        </w:rPr>
        <w:t xml:space="preserve">Αν ο ασθενής βρίσκεται σε κρίσιμη κατάσταση, η αρχική </w:t>
      </w:r>
      <w:proofErr w:type="spellStart"/>
      <w:r w:rsidRPr="00705BBC">
        <w:rPr>
          <w:rFonts w:ascii="Times New Roman" w:hAnsi="Times New Roman"/>
          <w:sz w:val="24"/>
          <w:szCs w:val="24"/>
        </w:rPr>
        <w:t>αντιμυκητιασική</w:t>
      </w:r>
      <w:proofErr w:type="spellEnd"/>
      <w:r w:rsidRPr="00705BBC">
        <w:rPr>
          <w:rFonts w:ascii="Times New Roman" w:hAnsi="Times New Roman"/>
          <w:sz w:val="24"/>
          <w:szCs w:val="24"/>
        </w:rPr>
        <w:t xml:space="preserve"> αγωγή θα πρέπει να περιλαμβάνει μια </w:t>
      </w:r>
      <w:proofErr w:type="spellStart"/>
      <w:r w:rsidRPr="00705BBC">
        <w:rPr>
          <w:rFonts w:ascii="Times New Roman" w:hAnsi="Times New Roman"/>
          <w:sz w:val="24"/>
          <w:szCs w:val="24"/>
        </w:rPr>
        <w:t>εχινοκανδίνη</w:t>
      </w:r>
      <w:proofErr w:type="spellEnd"/>
      <w:r w:rsidRPr="00705BBC">
        <w:rPr>
          <w:rFonts w:ascii="Times New Roman" w:hAnsi="Times New Roman"/>
          <w:sz w:val="24"/>
          <w:szCs w:val="24"/>
        </w:rPr>
        <w:t xml:space="preserve"> αντί της </w:t>
      </w:r>
      <w:proofErr w:type="spellStart"/>
      <w:r w:rsidRPr="00705BBC">
        <w:rPr>
          <w:rFonts w:ascii="Times New Roman" w:hAnsi="Times New Roman"/>
          <w:sz w:val="24"/>
          <w:szCs w:val="24"/>
        </w:rPr>
        <w:t>αζόλης</w:t>
      </w:r>
      <w:proofErr w:type="spellEnd"/>
      <w:r w:rsidRPr="00705BBC">
        <w:rPr>
          <w:rFonts w:ascii="Times New Roman" w:hAnsi="Times New Roman"/>
          <w:sz w:val="24"/>
          <w:szCs w:val="24"/>
        </w:rPr>
        <w:t xml:space="preserve"> (Β-ΙΙΙ)</w:t>
      </w:r>
    </w:p>
    <w:p w:rsidR="009945B0" w:rsidRPr="00705BBC" w:rsidRDefault="009945B0" w:rsidP="009945B0">
      <w:pPr>
        <w:pStyle w:val="a4"/>
        <w:numPr>
          <w:ilvl w:val="0"/>
          <w:numId w:val="10"/>
        </w:numPr>
        <w:ind w:left="426" w:hanging="426"/>
        <w:jc w:val="both"/>
        <w:rPr>
          <w:rFonts w:ascii="Times New Roman" w:hAnsi="Times New Roman"/>
          <w:sz w:val="24"/>
          <w:szCs w:val="24"/>
        </w:rPr>
      </w:pPr>
      <w:r w:rsidRPr="00705BBC">
        <w:rPr>
          <w:rFonts w:ascii="Times New Roman" w:hAnsi="Times New Roman"/>
          <w:sz w:val="24"/>
          <w:szCs w:val="24"/>
        </w:rPr>
        <w:t xml:space="preserve">Η </w:t>
      </w:r>
      <w:proofErr w:type="spellStart"/>
      <w:r w:rsidRPr="00705BBC">
        <w:rPr>
          <w:rFonts w:ascii="Times New Roman" w:hAnsi="Times New Roman"/>
          <w:sz w:val="24"/>
          <w:szCs w:val="24"/>
        </w:rPr>
        <w:t>αμφοτερικίνη</w:t>
      </w:r>
      <w:proofErr w:type="spellEnd"/>
      <w:r w:rsidRPr="00705BBC">
        <w:rPr>
          <w:rFonts w:ascii="Times New Roman" w:hAnsi="Times New Roman"/>
          <w:sz w:val="24"/>
          <w:szCs w:val="24"/>
        </w:rPr>
        <w:t xml:space="preserve"> Β δεν συνιστάται ως αρχική θεραπεία, λόγω τοξικότητας (Β-ΙΙ)</w:t>
      </w:r>
    </w:p>
    <w:p w:rsidR="009945B0" w:rsidRPr="00705BBC" w:rsidRDefault="009945B0" w:rsidP="009945B0">
      <w:pPr>
        <w:pStyle w:val="a4"/>
        <w:numPr>
          <w:ilvl w:val="0"/>
          <w:numId w:val="10"/>
        </w:numPr>
        <w:ind w:left="426" w:hanging="426"/>
        <w:jc w:val="both"/>
        <w:rPr>
          <w:rFonts w:ascii="Times New Roman" w:hAnsi="Times New Roman"/>
          <w:sz w:val="24"/>
          <w:szCs w:val="24"/>
        </w:rPr>
      </w:pPr>
      <w:r w:rsidRPr="00705BBC">
        <w:rPr>
          <w:rFonts w:ascii="Times New Roman" w:hAnsi="Times New Roman"/>
          <w:sz w:val="24"/>
          <w:szCs w:val="24"/>
        </w:rPr>
        <w:t xml:space="preserve">Στα νεογνά, η εμπειρική θεραπεία  θα πρέπει να ξεκινά με την υποψία της λοίμωξης από </w:t>
      </w:r>
      <w:r w:rsidRPr="00705BBC">
        <w:rPr>
          <w:rFonts w:ascii="Times New Roman" w:hAnsi="Times New Roman"/>
          <w:i/>
          <w:sz w:val="24"/>
          <w:szCs w:val="24"/>
          <w:lang w:val="en-US"/>
        </w:rPr>
        <w:t>Candida</w:t>
      </w:r>
      <w:r w:rsidRPr="00705BBC">
        <w:rPr>
          <w:rFonts w:ascii="Times New Roman" w:hAnsi="Times New Roman"/>
          <w:sz w:val="24"/>
          <w:szCs w:val="24"/>
        </w:rPr>
        <w:t xml:space="preserve">. Αν το στέλεχος που θα απομονωθεί είναι </w:t>
      </w:r>
      <w:r w:rsidRPr="00705BBC">
        <w:rPr>
          <w:rFonts w:ascii="Times New Roman" w:hAnsi="Times New Roman"/>
          <w:i/>
          <w:sz w:val="24"/>
          <w:szCs w:val="24"/>
          <w:lang w:val="en-US"/>
        </w:rPr>
        <w:t>C</w:t>
      </w:r>
      <w:r w:rsidRPr="00705BBC">
        <w:rPr>
          <w:rFonts w:ascii="Times New Roman" w:hAnsi="Times New Roman"/>
          <w:i/>
          <w:sz w:val="24"/>
          <w:szCs w:val="24"/>
        </w:rPr>
        <w:t xml:space="preserve">. </w:t>
      </w:r>
      <w:proofErr w:type="spellStart"/>
      <w:r w:rsidRPr="00705BBC">
        <w:rPr>
          <w:rFonts w:ascii="Times New Roman" w:hAnsi="Times New Roman"/>
          <w:i/>
          <w:sz w:val="24"/>
          <w:szCs w:val="24"/>
          <w:lang w:val="en-US"/>
        </w:rPr>
        <w:t>albicans</w:t>
      </w:r>
      <w:proofErr w:type="spellEnd"/>
      <w:r w:rsidRPr="00705BBC">
        <w:rPr>
          <w:rFonts w:ascii="Times New Roman" w:hAnsi="Times New Roman"/>
          <w:sz w:val="24"/>
          <w:szCs w:val="24"/>
        </w:rPr>
        <w:t xml:space="preserve">, θα πρέπει να χορηγηθεί </w:t>
      </w:r>
      <w:proofErr w:type="spellStart"/>
      <w:r w:rsidRPr="00705BBC">
        <w:rPr>
          <w:rFonts w:ascii="Times New Roman" w:hAnsi="Times New Roman"/>
          <w:sz w:val="24"/>
          <w:szCs w:val="24"/>
        </w:rPr>
        <w:t>φλουκοναζόλη</w:t>
      </w:r>
      <w:proofErr w:type="spellEnd"/>
      <w:r w:rsidRPr="00705BBC">
        <w:rPr>
          <w:rFonts w:ascii="Times New Roman" w:hAnsi="Times New Roman"/>
          <w:sz w:val="24"/>
          <w:szCs w:val="24"/>
        </w:rPr>
        <w:t xml:space="preserve"> (Β-ΙΙ) </w:t>
      </w:r>
    </w:p>
    <w:p w:rsidR="009945B0" w:rsidRPr="00705BBC" w:rsidRDefault="009945B0" w:rsidP="009945B0">
      <w:pPr>
        <w:pStyle w:val="a4"/>
        <w:numPr>
          <w:ilvl w:val="0"/>
          <w:numId w:val="10"/>
        </w:numPr>
        <w:ind w:left="426" w:hanging="426"/>
        <w:jc w:val="both"/>
        <w:rPr>
          <w:rFonts w:ascii="Times New Roman" w:hAnsi="Times New Roman"/>
          <w:sz w:val="24"/>
          <w:szCs w:val="24"/>
        </w:rPr>
      </w:pPr>
      <w:r w:rsidRPr="00705BBC">
        <w:rPr>
          <w:rFonts w:ascii="Times New Roman" w:hAnsi="Times New Roman"/>
          <w:sz w:val="24"/>
          <w:szCs w:val="24"/>
        </w:rPr>
        <w:t xml:space="preserve">Αν απομονώνονται εντερόκοκκοι από το περιεχόμενο της </w:t>
      </w:r>
      <w:proofErr w:type="spellStart"/>
      <w:r w:rsidRPr="00705BBC">
        <w:rPr>
          <w:rFonts w:ascii="Times New Roman" w:hAnsi="Times New Roman"/>
          <w:sz w:val="24"/>
          <w:szCs w:val="24"/>
        </w:rPr>
        <w:t>ενδοκοιλιακής</w:t>
      </w:r>
      <w:proofErr w:type="spellEnd"/>
      <w:r w:rsidRPr="00705BBC">
        <w:rPr>
          <w:rFonts w:ascii="Times New Roman" w:hAnsi="Times New Roman"/>
          <w:sz w:val="24"/>
          <w:szCs w:val="24"/>
        </w:rPr>
        <w:t xml:space="preserve"> εστίας σε ασθενείς με νοσοκομειακή λοίμωξη, θα πρέπει να χορηγείται η κατάλληλη αντιμικροβιακή αγωγή (Β-ΙΙΙ)</w:t>
      </w:r>
    </w:p>
    <w:p w:rsidR="009945B0" w:rsidRPr="00705BBC" w:rsidRDefault="009945B0" w:rsidP="009945B0">
      <w:pPr>
        <w:pStyle w:val="a4"/>
        <w:numPr>
          <w:ilvl w:val="0"/>
          <w:numId w:val="10"/>
        </w:numPr>
        <w:ind w:left="426" w:hanging="426"/>
        <w:jc w:val="both"/>
        <w:rPr>
          <w:rFonts w:ascii="Times New Roman" w:hAnsi="Times New Roman"/>
          <w:sz w:val="24"/>
          <w:szCs w:val="24"/>
        </w:rPr>
      </w:pPr>
      <w:r w:rsidRPr="00705BBC">
        <w:rPr>
          <w:rFonts w:ascii="Times New Roman" w:hAnsi="Times New Roman"/>
          <w:sz w:val="24"/>
          <w:szCs w:val="24"/>
        </w:rPr>
        <w:t xml:space="preserve">Η εμπειρική αγωγή έναντι των εντεροκόκκων συνιστάται στα περιστατικά με νοσοκομειακή λοίμωξη, ιδιαίτερα μάλιστα σε όσα εμφανίζουν μετεγχειρητική λοίμωξη, έχουν λάβει αγωγή με </w:t>
      </w:r>
      <w:proofErr w:type="spellStart"/>
      <w:r w:rsidRPr="00705BBC">
        <w:rPr>
          <w:rFonts w:ascii="Times New Roman" w:hAnsi="Times New Roman"/>
          <w:sz w:val="24"/>
          <w:szCs w:val="24"/>
        </w:rPr>
        <w:t>κεφαλοσπορίνες</w:t>
      </w:r>
      <w:proofErr w:type="spellEnd"/>
      <w:r w:rsidRPr="00705BBC">
        <w:rPr>
          <w:rFonts w:ascii="Times New Roman" w:hAnsi="Times New Roman"/>
          <w:sz w:val="24"/>
          <w:szCs w:val="24"/>
        </w:rPr>
        <w:t xml:space="preserve"> ή άλλους παράγοντες που επιλέγουν του εντεροκόκκους, σε </w:t>
      </w:r>
      <w:proofErr w:type="spellStart"/>
      <w:r w:rsidRPr="00705BBC">
        <w:rPr>
          <w:rFonts w:ascii="Times New Roman" w:hAnsi="Times New Roman"/>
          <w:sz w:val="24"/>
          <w:szCs w:val="24"/>
        </w:rPr>
        <w:t>ανοσοκατασταλμένους</w:t>
      </w:r>
      <w:proofErr w:type="spellEnd"/>
      <w:r w:rsidRPr="00705BBC">
        <w:rPr>
          <w:rFonts w:ascii="Times New Roman" w:hAnsi="Times New Roman"/>
          <w:sz w:val="24"/>
          <w:szCs w:val="24"/>
        </w:rPr>
        <w:t xml:space="preserve"> ασθενείς, καθώς και σε όσους πάσχουν από νοσήματα των καρδιακών βαλβίδων ή διαθέτουν προσθετικά </w:t>
      </w:r>
      <w:proofErr w:type="spellStart"/>
      <w:r w:rsidRPr="00705BBC">
        <w:rPr>
          <w:rFonts w:ascii="Times New Roman" w:hAnsi="Times New Roman"/>
          <w:sz w:val="24"/>
          <w:szCs w:val="24"/>
        </w:rPr>
        <w:t>ενδαγγειακά</w:t>
      </w:r>
      <w:proofErr w:type="spellEnd"/>
      <w:r w:rsidRPr="00705BBC">
        <w:rPr>
          <w:rFonts w:ascii="Times New Roman" w:hAnsi="Times New Roman"/>
          <w:sz w:val="24"/>
          <w:szCs w:val="24"/>
        </w:rPr>
        <w:t xml:space="preserve"> υλικά. (Β-ΙΙ)</w:t>
      </w:r>
    </w:p>
    <w:p w:rsidR="009945B0" w:rsidRPr="00705BBC" w:rsidRDefault="009945B0" w:rsidP="009945B0">
      <w:pPr>
        <w:pStyle w:val="a4"/>
        <w:numPr>
          <w:ilvl w:val="0"/>
          <w:numId w:val="10"/>
        </w:numPr>
        <w:ind w:left="426" w:hanging="426"/>
        <w:jc w:val="both"/>
        <w:rPr>
          <w:rFonts w:ascii="Times New Roman" w:hAnsi="Times New Roman"/>
          <w:sz w:val="24"/>
          <w:szCs w:val="24"/>
        </w:rPr>
      </w:pPr>
      <w:r w:rsidRPr="00705BBC">
        <w:rPr>
          <w:rFonts w:ascii="Times New Roman" w:hAnsi="Times New Roman"/>
          <w:sz w:val="24"/>
          <w:szCs w:val="24"/>
        </w:rPr>
        <w:t xml:space="preserve">Η αρχική αγωγή κατά των εντεροκόκκων θα πρέπει να στοχεύει τον </w:t>
      </w:r>
      <w:r w:rsidRPr="00705BBC">
        <w:rPr>
          <w:rFonts w:ascii="Times New Roman" w:hAnsi="Times New Roman"/>
          <w:i/>
          <w:sz w:val="24"/>
          <w:szCs w:val="24"/>
          <w:lang w:val="en-US"/>
        </w:rPr>
        <w:t>Enterococcus</w:t>
      </w:r>
      <w:r w:rsidRPr="00705BBC">
        <w:rPr>
          <w:rFonts w:ascii="Times New Roman" w:hAnsi="Times New Roman"/>
          <w:i/>
          <w:sz w:val="24"/>
          <w:szCs w:val="24"/>
        </w:rPr>
        <w:t xml:space="preserve"> </w:t>
      </w:r>
      <w:r w:rsidRPr="00705BBC">
        <w:rPr>
          <w:rFonts w:ascii="Times New Roman" w:hAnsi="Times New Roman"/>
          <w:i/>
          <w:sz w:val="24"/>
          <w:szCs w:val="24"/>
          <w:lang w:val="en-US"/>
        </w:rPr>
        <w:t>faecalis</w:t>
      </w:r>
      <w:r w:rsidRPr="00705BBC">
        <w:rPr>
          <w:rFonts w:ascii="Times New Roman" w:hAnsi="Times New Roman"/>
          <w:sz w:val="24"/>
          <w:szCs w:val="24"/>
        </w:rPr>
        <w:t xml:space="preserve">. Τα αντιβιοτικά που μπορούν να χρησιμοποιηθούν θα επιλεγούν με βάση τις δοκιμασίες ευαισθησίας του συγκεκριμένου στελέχους και περιλαμβάνουν τις </w:t>
      </w:r>
      <w:proofErr w:type="spellStart"/>
      <w:r w:rsidRPr="00705BBC">
        <w:rPr>
          <w:rFonts w:ascii="Times New Roman" w:hAnsi="Times New Roman"/>
          <w:sz w:val="24"/>
          <w:szCs w:val="24"/>
        </w:rPr>
        <w:t>αμπικιλίνη</w:t>
      </w:r>
      <w:proofErr w:type="spellEnd"/>
      <w:r w:rsidRPr="00705BBC">
        <w:rPr>
          <w:rFonts w:ascii="Times New Roman" w:hAnsi="Times New Roman"/>
          <w:sz w:val="24"/>
          <w:szCs w:val="24"/>
        </w:rPr>
        <w:t xml:space="preserve">, </w:t>
      </w:r>
      <w:proofErr w:type="spellStart"/>
      <w:r w:rsidRPr="00705BBC">
        <w:rPr>
          <w:rFonts w:ascii="Times New Roman" w:hAnsi="Times New Roman"/>
          <w:sz w:val="24"/>
          <w:szCs w:val="24"/>
        </w:rPr>
        <w:t>πιπερακιλίνη</w:t>
      </w:r>
      <w:proofErr w:type="spellEnd"/>
      <w:r w:rsidRPr="00705BBC">
        <w:rPr>
          <w:rFonts w:ascii="Times New Roman" w:hAnsi="Times New Roman"/>
          <w:sz w:val="24"/>
          <w:szCs w:val="24"/>
        </w:rPr>
        <w:t>-</w:t>
      </w:r>
      <w:proofErr w:type="spellStart"/>
      <w:r w:rsidRPr="00705BBC">
        <w:rPr>
          <w:rFonts w:ascii="Times New Roman" w:hAnsi="Times New Roman"/>
          <w:sz w:val="24"/>
          <w:szCs w:val="24"/>
        </w:rPr>
        <w:t>ταζομπακτάμη</w:t>
      </w:r>
      <w:proofErr w:type="spellEnd"/>
      <w:r w:rsidRPr="00705BBC">
        <w:rPr>
          <w:rFonts w:ascii="Times New Roman" w:hAnsi="Times New Roman"/>
          <w:sz w:val="24"/>
          <w:szCs w:val="24"/>
        </w:rPr>
        <w:t xml:space="preserve"> και </w:t>
      </w:r>
      <w:proofErr w:type="spellStart"/>
      <w:r w:rsidRPr="00705BBC">
        <w:rPr>
          <w:rFonts w:ascii="Times New Roman" w:hAnsi="Times New Roman"/>
          <w:sz w:val="24"/>
          <w:szCs w:val="24"/>
        </w:rPr>
        <w:t>βανκομυκίνη</w:t>
      </w:r>
      <w:proofErr w:type="spellEnd"/>
      <w:r w:rsidRPr="00705BBC">
        <w:rPr>
          <w:rFonts w:ascii="Times New Roman" w:hAnsi="Times New Roman"/>
          <w:sz w:val="24"/>
          <w:szCs w:val="24"/>
        </w:rPr>
        <w:t xml:space="preserve"> (Β-ΙΙΙ_</w:t>
      </w:r>
    </w:p>
    <w:p w:rsidR="009945B0" w:rsidRPr="00705BBC" w:rsidRDefault="009945B0" w:rsidP="009945B0">
      <w:pPr>
        <w:pStyle w:val="a4"/>
        <w:numPr>
          <w:ilvl w:val="0"/>
          <w:numId w:val="10"/>
        </w:numPr>
        <w:ind w:left="426" w:hanging="426"/>
        <w:jc w:val="both"/>
        <w:rPr>
          <w:rFonts w:ascii="Times New Roman" w:hAnsi="Times New Roman"/>
          <w:sz w:val="24"/>
          <w:szCs w:val="24"/>
        </w:rPr>
      </w:pPr>
      <w:r w:rsidRPr="00705BBC">
        <w:rPr>
          <w:rFonts w:ascii="Times New Roman" w:hAnsi="Times New Roman"/>
          <w:sz w:val="24"/>
          <w:szCs w:val="24"/>
        </w:rPr>
        <w:t xml:space="preserve">Η εμπειρική αγωγή κατά του ανθεκτικού στη βανκομυκίνη </w:t>
      </w:r>
      <w:r w:rsidRPr="00705BBC">
        <w:rPr>
          <w:rFonts w:ascii="Times New Roman" w:hAnsi="Times New Roman"/>
          <w:i/>
          <w:sz w:val="24"/>
          <w:szCs w:val="24"/>
          <w:lang w:val="en-US"/>
        </w:rPr>
        <w:t>Enterococcus</w:t>
      </w:r>
      <w:r w:rsidRPr="00705BBC">
        <w:rPr>
          <w:rFonts w:ascii="Times New Roman" w:hAnsi="Times New Roman"/>
          <w:i/>
          <w:sz w:val="24"/>
          <w:szCs w:val="24"/>
        </w:rPr>
        <w:t xml:space="preserve"> </w:t>
      </w:r>
      <w:r w:rsidRPr="00705BBC">
        <w:rPr>
          <w:rFonts w:ascii="Times New Roman" w:hAnsi="Times New Roman"/>
          <w:i/>
          <w:sz w:val="24"/>
          <w:szCs w:val="24"/>
          <w:lang w:val="en-US"/>
        </w:rPr>
        <w:t>faecium</w:t>
      </w:r>
      <w:r w:rsidRPr="00705BBC">
        <w:rPr>
          <w:rFonts w:ascii="Times New Roman" w:hAnsi="Times New Roman"/>
          <w:sz w:val="24"/>
          <w:szCs w:val="24"/>
        </w:rPr>
        <w:t xml:space="preserve"> δεν συνιστάται, εκτός εάν ο ασθενής βρίσκεται σε υψηλό κίνδυνο λοίμωξης από το μικρόβιο αυτό, όπως ως παράδειγμα, αν έχει υποβληθεί σε μεταμόσχευση ήπατος και η ενδοκοιλιακή </w:t>
      </w:r>
      <w:r w:rsidRPr="00705BBC">
        <w:rPr>
          <w:rFonts w:ascii="Times New Roman" w:hAnsi="Times New Roman"/>
          <w:sz w:val="24"/>
          <w:szCs w:val="24"/>
        </w:rPr>
        <w:lastRenderedPageBreak/>
        <w:t xml:space="preserve">λοίμωξη έχει ως πηγή τα χοληφόρα αγγεία ή ακόμη αν είναι γνωστό ότι είναι αποικισμένος από ανθεκτικό στη βανκομυκίνη στέλεχος </w:t>
      </w:r>
      <w:r w:rsidRPr="00705BBC">
        <w:rPr>
          <w:rFonts w:ascii="Times New Roman" w:hAnsi="Times New Roman"/>
          <w:i/>
          <w:sz w:val="24"/>
          <w:szCs w:val="24"/>
          <w:lang w:val="en-US"/>
        </w:rPr>
        <w:t>E</w:t>
      </w:r>
      <w:r w:rsidRPr="00705BBC">
        <w:rPr>
          <w:rFonts w:ascii="Times New Roman" w:hAnsi="Times New Roman"/>
          <w:i/>
          <w:sz w:val="24"/>
          <w:szCs w:val="24"/>
        </w:rPr>
        <w:t xml:space="preserve">. </w:t>
      </w:r>
      <w:r w:rsidRPr="00705BBC">
        <w:rPr>
          <w:rFonts w:ascii="Times New Roman" w:hAnsi="Times New Roman"/>
          <w:i/>
          <w:sz w:val="24"/>
          <w:szCs w:val="24"/>
          <w:lang w:val="en-US"/>
        </w:rPr>
        <w:t>faecium</w:t>
      </w:r>
      <w:r w:rsidRPr="00705BBC">
        <w:rPr>
          <w:rFonts w:ascii="Times New Roman" w:hAnsi="Times New Roman"/>
          <w:sz w:val="24"/>
          <w:szCs w:val="24"/>
        </w:rPr>
        <w:t xml:space="preserve"> (</w:t>
      </w:r>
      <w:r w:rsidRPr="00705BBC">
        <w:rPr>
          <w:rFonts w:ascii="Times New Roman" w:hAnsi="Times New Roman"/>
          <w:sz w:val="24"/>
          <w:szCs w:val="24"/>
          <w:lang w:val="en-US"/>
        </w:rPr>
        <w:t>B</w:t>
      </w:r>
      <w:r w:rsidRPr="00705BBC">
        <w:rPr>
          <w:rFonts w:ascii="Times New Roman" w:hAnsi="Times New Roman"/>
          <w:sz w:val="24"/>
          <w:szCs w:val="24"/>
        </w:rPr>
        <w:t>-</w:t>
      </w:r>
      <w:r w:rsidRPr="00705BBC">
        <w:rPr>
          <w:rFonts w:ascii="Times New Roman" w:hAnsi="Times New Roman"/>
          <w:sz w:val="24"/>
          <w:szCs w:val="24"/>
          <w:lang w:val="en-US"/>
        </w:rPr>
        <w:t>III</w:t>
      </w:r>
      <w:r w:rsidRPr="00705BBC">
        <w:rPr>
          <w:rFonts w:ascii="Times New Roman" w:hAnsi="Times New Roman"/>
          <w:sz w:val="24"/>
          <w:szCs w:val="24"/>
        </w:rPr>
        <w:t xml:space="preserve">) </w:t>
      </w:r>
    </w:p>
    <w:p w:rsidR="009945B0" w:rsidRPr="00705BBC" w:rsidRDefault="009945B0" w:rsidP="009945B0">
      <w:pPr>
        <w:pStyle w:val="a4"/>
        <w:numPr>
          <w:ilvl w:val="0"/>
          <w:numId w:val="10"/>
        </w:numPr>
        <w:ind w:left="426" w:hanging="426"/>
        <w:jc w:val="both"/>
        <w:rPr>
          <w:rFonts w:ascii="Times New Roman" w:hAnsi="Times New Roman"/>
          <w:sz w:val="24"/>
          <w:szCs w:val="24"/>
        </w:rPr>
      </w:pPr>
      <w:r w:rsidRPr="00705BBC">
        <w:rPr>
          <w:rFonts w:ascii="Times New Roman" w:hAnsi="Times New Roman"/>
          <w:sz w:val="24"/>
          <w:szCs w:val="24"/>
          <w:lang w:val="en-US"/>
        </w:rPr>
        <w:t>H</w:t>
      </w:r>
      <w:r w:rsidRPr="00705BBC">
        <w:rPr>
          <w:rFonts w:ascii="Times New Roman" w:hAnsi="Times New Roman"/>
          <w:sz w:val="24"/>
          <w:szCs w:val="24"/>
        </w:rPr>
        <w:t xml:space="preserve"> εμπειρική κάλυψη έναντι του </w:t>
      </w:r>
      <w:r w:rsidRPr="00705BBC">
        <w:rPr>
          <w:rFonts w:ascii="Times New Roman" w:hAnsi="Times New Roman"/>
          <w:sz w:val="24"/>
          <w:szCs w:val="24"/>
          <w:lang w:val="en-US"/>
        </w:rPr>
        <w:t>MRSA</w:t>
      </w:r>
      <w:r w:rsidRPr="00705BBC">
        <w:rPr>
          <w:rFonts w:ascii="Times New Roman" w:hAnsi="Times New Roman"/>
          <w:sz w:val="24"/>
          <w:szCs w:val="24"/>
        </w:rPr>
        <w:t xml:space="preserve">  θα πρέπει να παρέχεται στους ασθενείς με νοσοκομειακή ενδοκοιλιακή λοίμωξη που είναι γνωστό ότι φέρουν τον σχετικό αποικισμό ή που υπόκεινται σε κίνδυνο λοίμωξης από το συγκεκριμένο μικρόβιο επειδή προϋπήρξε θεραπευτική αποτυχία ή έχουν λάβει εκτεταμένη αντιμικροβιακή αγωγή (Β-ΙΙ)</w:t>
      </w:r>
    </w:p>
    <w:p w:rsidR="009945B0" w:rsidRPr="00705BBC" w:rsidRDefault="009945B0" w:rsidP="009945B0">
      <w:pPr>
        <w:pStyle w:val="a4"/>
        <w:numPr>
          <w:ilvl w:val="0"/>
          <w:numId w:val="10"/>
        </w:numPr>
        <w:ind w:left="426" w:hanging="426"/>
        <w:jc w:val="both"/>
        <w:rPr>
          <w:rFonts w:ascii="Times New Roman" w:hAnsi="Times New Roman"/>
          <w:sz w:val="24"/>
          <w:szCs w:val="24"/>
        </w:rPr>
      </w:pPr>
      <w:r w:rsidRPr="00705BBC">
        <w:rPr>
          <w:rFonts w:ascii="Times New Roman" w:hAnsi="Times New Roman"/>
          <w:sz w:val="24"/>
          <w:szCs w:val="24"/>
        </w:rPr>
        <w:t xml:space="preserve">Για τη θεραπεία των πιθανών ή αποδεδειγμένων λοιμώξεων που οφείλονται σε </w:t>
      </w:r>
      <w:r w:rsidRPr="00705BBC">
        <w:rPr>
          <w:rFonts w:ascii="Times New Roman" w:hAnsi="Times New Roman"/>
          <w:sz w:val="24"/>
          <w:szCs w:val="24"/>
          <w:lang w:val="en-US"/>
        </w:rPr>
        <w:t>MRSA</w:t>
      </w:r>
      <w:r w:rsidRPr="00705BBC">
        <w:rPr>
          <w:rFonts w:ascii="Times New Roman" w:hAnsi="Times New Roman"/>
          <w:sz w:val="24"/>
          <w:szCs w:val="24"/>
        </w:rPr>
        <w:t xml:space="preserve"> συνιστάται η χορήγηση </w:t>
      </w:r>
      <w:proofErr w:type="spellStart"/>
      <w:r w:rsidRPr="00705BBC">
        <w:rPr>
          <w:rFonts w:ascii="Times New Roman" w:hAnsi="Times New Roman"/>
          <w:sz w:val="24"/>
          <w:szCs w:val="24"/>
        </w:rPr>
        <w:t>βανκομυκίνης</w:t>
      </w:r>
      <w:proofErr w:type="spellEnd"/>
      <w:r w:rsidRPr="00705BBC">
        <w:rPr>
          <w:rFonts w:ascii="Times New Roman" w:hAnsi="Times New Roman"/>
          <w:sz w:val="24"/>
          <w:szCs w:val="24"/>
        </w:rPr>
        <w:t xml:space="preserve"> (Α-ΙΙΙ)</w:t>
      </w:r>
    </w:p>
    <w:p w:rsidR="009945B0" w:rsidRPr="00705BBC" w:rsidRDefault="009945B0" w:rsidP="009945B0">
      <w:pPr>
        <w:jc w:val="both"/>
      </w:pPr>
    </w:p>
    <w:p w:rsidR="009945B0" w:rsidRPr="00705BBC" w:rsidRDefault="009945B0" w:rsidP="009945B0">
      <w:pPr>
        <w:jc w:val="both"/>
        <w:rPr>
          <w:b/>
        </w:rPr>
      </w:pPr>
      <w:r w:rsidRPr="00705BBC">
        <w:rPr>
          <w:b/>
        </w:rPr>
        <w:t>Η ΕΠΙΛΟΓΗ ΤΗΣ ΚΑΤΑΛΛΗΛΗΣ ΔΙΑΓΝΩΣΤΙΚΗΣ ΚΑΙ ΘΕΡΑΠΕΥΤΙΚΗΣ ΣΤΡΑΤΗΓΙΚΗΣ ΓΙΑ ΤΗΝ ΟΞΕΙΑ ΧΟΛΟΚΥΣΤΙΤΙΔΑ ΚΑΙ ΧΟΛΑΓΓΕΙΪΤΙΔΑ</w:t>
      </w:r>
    </w:p>
    <w:p w:rsidR="009945B0" w:rsidRPr="00705BBC" w:rsidRDefault="009945B0" w:rsidP="009945B0">
      <w:pPr>
        <w:pStyle w:val="a4"/>
        <w:numPr>
          <w:ilvl w:val="0"/>
          <w:numId w:val="11"/>
        </w:numPr>
        <w:ind w:left="426" w:hanging="426"/>
        <w:jc w:val="both"/>
        <w:rPr>
          <w:rFonts w:ascii="Times New Roman" w:hAnsi="Times New Roman"/>
          <w:sz w:val="24"/>
          <w:szCs w:val="24"/>
        </w:rPr>
      </w:pPr>
      <w:r w:rsidRPr="00705BBC">
        <w:rPr>
          <w:rFonts w:ascii="Times New Roman" w:hAnsi="Times New Roman"/>
          <w:sz w:val="24"/>
          <w:szCs w:val="24"/>
        </w:rPr>
        <w:t xml:space="preserve">Ο υπερηχογραφία αποτελεί την απεικονιστική τεχνική επιλογής για τις ύποπτες περιπτώσεις οξείας χολοκυστίτιδας ή </w:t>
      </w:r>
      <w:proofErr w:type="spellStart"/>
      <w:r w:rsidRPr="00705BBC">
        <w:rPr>
          <w:rFonts w:ascii="Times New Roman" w:hAnsi="Times New Roman"/>
          <w:sz w:val="24"/>
          <w:szCs w:val="24"/>
        </w:rPr>
        <w:t>χολαγγειΐτιδας</w:t>
      </w:r>
      <w:proofErr w:type="spellEnd"/>
      <w:r w:rsidRPr="00705BBC">
        <w:rPr>
          <w:rFonts w:ascii="Times New Roman" w:hAnsi="Times New Roman"/>
          <w:sz w:val="24"/>
          <w:szCs w:val="24"/>
        </w:rPr>
        <w:t>. (Α-Ι)</w:t>
      </w:r>
    </w:p>
    <w:p w:rsidR="009945B0" w:rsidRPr="00705BBC" w:rsidRDefault="009945B0" w:rsidP="009945B0">
      <w:pPr>
        <w:pStyle w:val="a4"/>
        <w:numPr>
          <w:ilvl w:val="0"/>
          <w:numId w:val="11"/>
        </w:numPr>
        <w:ind w:left="426" w:hanging="426"/>
        <w:jc w:val="both"/>
        <w:rPr>
          <w:rFonts w:ascii="Times New Roman" w:hAnsi="Times New Roman"/>
          <w:sz w:val="24"/>
          <w:szCs w:val="24"/>
        </w:rPr>
      </w:pPr>
      <w:r w:rsidRPr="00705BBC">
        <w:rPr>
          <w:rFonts w:ascii="Times New Roman" w:hAnsi="Times New Roman"/>
          <w:sz w:val="24"/>
          <w:szCs w:val="24"/>
        </w:rPr>
        <w:t xml:space="preserve">Οι ασθενείς που εμφανίζουν υποψία λοίμωξης και σημεία οξείας χολοκυστίτιδας ή </w:t>
      </w:r>
      <w:proofErr w:type="spellStart"/>
      <w:r w:rsidRPr="00705BBC">
        <w:rPr>
          <w:rFonts w:ascii="Times New Roman" w:hAnsi="Times New Roman"/>
          <w:sz w:val="24"/>
          <w:szCs w:val="24"/>
        </w:rPr>
        <w:t>χολαγγειΐτιδας</w:t>
      </w:r>
      <w:proofErr w:type="spellEnd"/>
      <w:r w:rsidRPr="00705BBC">
        <w:rPr>
          <w:rFonts w:ascii="Times New Roman" w:hAnsi="Times New Roman"/>
          <w:sz w:val="24"/>
          <w:szCs w:val="24"/>
        </w:rPr>
        <w:t xml:space="preserve"> πρέπει να λάβουν την κατάλληλη αντιμικροβιακή αγωγή:</w:t>
      </w:r>
    </w:p>
    <w:p w:rsidR="009945B0" w:rsidRPr="00705BBC" w:rsidRDefault="009945B0" w:rsidP="009945B0">
      <w:pPr>
        <w:pStyle w:val="a4"/>
        <w:numPr>
          <w:ilvl w:val="0"/>
          <w:numId w:val="12"/>
        </w:numPr>
        <w:jc w:val="both"/>
        <w:rPr>
          <w:rFonts w:ascii="Times New Roman" w:hAnsi="Times New Roman"/>
          <w:sz w:val="24"/>
          <w:szCs w:val="24"/>
        </w:rPr>
      </w:pPr>
      <w:r w:rsidRPr="00705BBC">
        <w:rPr>
          <w:rFonts w:ascii="Times New Roman" w:hAnsi="Times New Roman"/>
          <w:sz w:val="24"/>
          <w:szCs w:val="24"/>
        </w:rPr>
        <w:t xml:space="preserve">Για τις ήπιες έως μέτριας βαρύτητα χολοκυστίτιδες από την κοινότητα προτείνεται η χορήγηση </w:t>
      </w:r>
      <w:proofErr w:type="spellStart"/>
      <w:r w:rsidRPr="00705BBC">
        <w:rPr>
          <w:rFonts w:ascii="Times New Roman" w:hAnsi="Times New Roman"/>
          <w:sz w:val="24"/>
          <w:szCs w:val="24"/>
        </w:rPr>
        <w:t>κεφαζολίνης</w:t>
      </w:r>
      <w:proofErr w:type="spellEnd"/>
      <w:r w:rsidRPr="00705BBC">
        <w:rPr>
          <w:rFonts w:ascii="Times New Roman" w:hAnsi="Times New Roman"/>
          <w:sz w:val="24"/>
          <w:szCs w:val="24"/>
        </w:rPr>
        <w:t xml:space="preserve">, </w:t>
      </w:r>
      <w:proofErr w:type="spellStart"/>
      <w:r w:rsidRPr="00705BBC">
        <w:rPr>
          <w:rFonts w:ascii="Times New Roman" w:hAnsi="Times New Roman"/>
          <w:sz w:val="24"/>
          <w:szCs w:val="24"/>
        </w:rPr>
        <w:t>κεφουροξίμης</w:t>
      </w:r>
      <w:proofErr w:type="spellEnd"/>
      <w:r w:rsidRPr="00705BBC">
        <w:rPr>
          <w:rFonts w:ascii="Times New Roman" w:hAnsi="Times New Roman"/>
          <w:sz w:val="24"/>
          <w:szCs w:val="24"/>
        </w:rPr>
        <w:t xml:space="preserve"> ή </w:t>
      </w:r>
      <w:proofErr w:type="spellStart"/>
      <w:r w:rsidRPr="00705BBC">
        <w:rPr>
          <w:rFonts w:ascii="Times New Roman" w:hAnsi="Times New Roman"/>
          <w:sz w:val="24"/>
          <w:szCs w:val="24"/>
        </w:rPr>
        <w:t>κεφτριαξόνης</w:t>
      </w:r>
      <w:proofErr w:type="spellEnd"/>
    </w:p>
    <w:p w:rsidR="009945B0" w:rsidRPr="00705BBC" w:rsidRDefault="009945B0" w:rsidP="009945B0">
      <w:pPr>
        <w:pStyle w:val="a4"/>
        <w:numPr>
          <w:ilvl w:val="0"/>
          <w:numId w:val="12"/>
        </w:numPr>
        <w:jc w:val="both"/>
        <w:rPr>
          <w:rFonts w:ascii="Times New Roman" w:hAnsi="Times New Roman"/>
          <w:sz w:val="24"/>
          <w:szCs w:val="24"/>
        </w:rPr>
      </w:pPr>
      <w:r w:rsidRPr="00705BBC">
        <w:rPr>
          <w:rFonts w:ascii="Times New Roman" w:hAnsi="Times New Roman"/>
          <w:sz w:val="24"/>
          <w:szCs w:val="24"/>
        </w:rPr>
        <w:t xml:space="preserve">Για τις χολοκυστίτιδες από την κοινότητα που είτε είναι σοβαρές, είτε αφορούν άτομα μεγάλης ηλικίας ή </w:t>
      </w:r>
      <w:proofErr w:type="spellStart"/>
      <w:r w:rsidRPr="00705BBC">
        <w:rPr>
          <w:rFonts w:ascii="Times New Roman" w:hAnsi="Times New Roman"/>
          <w:sz w:val="24"/>
          <w:szCs w:val="24"/>
        </w:rPr>
        <w:t>ανοσοκατασταλμάνα</w:t>
      </w:r>
      <w:proofErr w:type="spellEnd"/>
      <w:r w:rsidRPr="00705BBC">
        <w:rPr>
          <w:rFonts w:ascii="Times New Roman" w:hAnsi="Times New Roman"/>
          <w:sz w:val="24"/>
          <w:szCs w:val="24"/>
        </w:rPr>
        <w:t xml:space="preserve">, προτείνονται η </w:t>
      </w:r>
      <w:proofErr w:type="spellStart"/>
      <w:r w:rsidRPr="00705BBC">
        <w:rPr>
          <w:rFonts w:ascii="Times New Roman" w:hAnsi="Times New Roman"/>
          <w:sz w:val="24"/>
          <w:szCs w:val="24"/>
        </w:rPr>
        <w:t>μεροπενέμη</w:t>
      </w:r>
      <w:proofErr w:type="spellEnd"/>
      <w:r w:rsidRPr="00705BBC">
        <w:rPr>
          <w:rFonts w:ascii="Times New Roman" w:hAnsi="Times New Roman"/>
          <w:sz w:val="24"/>
          <w:szCs w:val="24"/>
        </w:rPr>
        <w:t xml:space="preserve">, η </w:t>
      </w:r>
      <w:proofErr w:type="spellStart"/>
      <w:r w:rsidRPr="00705BBC">
        <w:rPr>
          <w:rFonts w:ascii="Times New Roman" w:hAnsi="Times New Roman"/>
          <w:sz w:val="24"/>
          <w:szCs w:val="24"/>
        </w:rPr>
        <w:t>ιμιπενέμη</w:t>
      </w:r>
      <w:proofErr w:type="spellEnd"/>
      <w:r w:rsidRPr="00705BBC">
        <w:rPr>
          <w:rFonts w:ascii="Times New Roman" w:hAnsi="Times New Roman"/>
          <w:sz w:val="24"/>
          <w:szCs w:val="24"/>
        </w:rPr>
        <w:t>-</w:t>
      </w:r>
      <w:proofErr w:type="spellStart"/>
      <w:r w:rsidRPr="00705BBC">
        <w:rPr>
          <w:rFonts w:ascii="Times New Roman" w:hAnsi="Times New Roman"/>
          <w:sz w:val="24"/>
          <w:szCs w:val="24"/>
        </w:rPr>
        <w:t>σιλαστατίνη</w:t>
      </w:r>
      <w:proofErr w:type="spellEnd"/>
      <w:r w:rsidRPr="00705BBC">
        <w:rPr>
          <w:rFonts w:ascii="Times New Roman" w:hAnsi="Times New Roman"/>
          <w:sz w:val="24"/>
          <w:szCs w:val="24"/>
        </w:rPr>
        <w:t xml:space="preserve">, η </w:t>
      </w:r>
      <w:proofErr w:type="spellStart"/>
      <w:r w:rsidRPr="00705BBC">
        <w:rPr>
          <w:rFonts w:ascii="Times New Roman" w:hAnsi="Times New Roman"/>
          <w:sz w:val="24"/>
          <w:szCs w:val="24"/>
        </w:rPr>
        <w:t>δοριπενέμη</w:t>
      </w:r>
      <w:proofErr w:type="spellEnd"/>
      <w:r w:rsidRPr="00705BBC">
        <w:rPr>
          <w:rFonts w:ascii="Times New Roman" w:hAnsi="Times New Roman"/>
          <w:sz w:val="24"/>
          <w:szCs w:val="24"/>
        </w:rPr>
        <w:t xml:space="preserve">, η </w:t>
      </w:r>
      <w:proofErr w:type="spellStart"/>
      <w:r w:rsidRPr="00705BBC">
        <w:rPr>
          <w:rFonts w:ascii="Times New Roman" w:hAnsi="Times New Roman"/>
          <w:sz w:val="24"/>
          <w:szCs w:val="24"/>
        </w:rPr>
        <w:t>πιπερακιλίνη</w:t>
      </w:r>
      <w:proofErr w:type="spellEnd"/>
      <w:r w:rsidRPr="00705BBC">
        <w:rPr>
          <w:rFonts w:ascii="Times New Roman" w:hAnsi="Times New Roman"/>
          <w:sz w:val="24"/>
          <w:szCs w:val="24"/>
        </w:rPr>
        <w:t>-</w:t>
      </w:r>
      <w:proofErr w:type="spellStart"/>
      <w:r w:rsidRPr="00705BBC">
        <w:rPr>
          <w:rFonts w:ascii="Times New Roman" w:hAnsi="Times New Roman"/>
          <w:sz w:val="24"/>
          <w:szCs w:val="24"/>
        </w:rPr>
        <w:t>ταζομπακτάμη</w:t>
      </w:r>
      <w:proofErr w:type="spellEnd"/>
      <w:r w:rsidRPr="00705BBC">
        <w:rPr>
          <w:rFonts w:ascii="Times New Roman" w:hAnsi="Times New Roman"/>
          <w:sz w:val="24"/>
          <w:szCs w:val="24"/>
        </w:rPr>
        <w:t xml:space="preserve">, η </w:t>
      </w:r>
      <w:proofErr w:type="spellStart"/>
      <w:r w:rsidRPr="00705BBC">
        <w:rPr>
          <w:rFonts w:ascii="Times New Roman" w:hAnsi="Times New Roman"/>
          <w:sz w:val="24"/>
          <w:szCs w:val="24"/>
        </w:rPr>
        <w:t>σιπροφλοξασίνη</w:t>
      </w:r>
      <w:proofErr w:type="spellEnd"/>
      <w:r w:rsidRPr="00705BBC">
        <w:rPr>
          <w:rFonts w:ascii="Times New Roman" w:hAnsi="Times New Roman"/>
          <w:sz w:val="24"/>
          <w:szCs w:val="24"/>
        </w:rPr>
        <w:t xml:space="preserve">, η </w:t>
      </w:r>
      <w:proofErr w:type="spellStart"/>
      <w:r w:rsidRPr="00705BBC">
        <w:rPr>
          <w:rFonts w:ascii="Times New Roman" w:hAnsi="Times New Roman"/>
          <w:sz w:val="24"/>
          <w:szCs w:val="24"/>
        </w:rPr>
        <w:t>λεβοφλοξασίνη</w:t>
      </w:r>
      <w:proofErr w:type="spellEnd"/>
      <w:r w:rsidRPr="00705BBC">
        <w:rPr>
          <w:rFonts w:ascii="Times New Roman" w:hAnsi="Times New Roman"/>
          <w:sz w:val="24"/>
          <w:szCs w:val="24"/>
        </w:rPr>
        <w:t xml:space="preserve"> ή η </w:t>
      </w:r>
      <w:proofErr w:type="spellStart"/>
      <w:r w:rsidRPr="00705BBC">
        <w:rPr>
          <w:rFonts w:ascii="Times New Roman" w:hAnsi="Times New Roman"/>
          <w:sz w:val="24"/>
          <w:szCs w:val="24"/>
        </w:rPr>
        <w:t>κεφεπίμη</w:t>
      </w:r>
      <w:proofErr w:type="spellEnd"/>
      <w:r w:rsidRPr="00705BBC">
        <w:rPr>
          <w:rFonts w:ascii="Times New Roman" w:hAnsi="Times New Roman"/>
          <w:sz w:val="24"/>
          <w:szCs w:val="24"/>
        </w:rPr>
        <w:t xml:space="preserve"> σε συνδυασμό με </w:t>
      </w:r>
      <w:proofErr w:type="spellStart"/>
      <w:r w:rsidRPr="00705BBC">
        <w:rPr>
          <w:rFonts w:ascii="Times New Roman" w:hAnsi="Times New Roman"/>
          <w:sz w:val="24"/>
          <w:szCs w:val="24"/>
        </w:rPr>
        <w:t>μετρονιδαζόλη</w:t>
      </w:r>
      <w:proofErr w:type="spellEnd"/>
    </w:p>
    <w:p w:rsidR="009945B0" w:rsidRPr="00705BBC" w:rsidRDefault="009945B0" w:rsidP="009945B0">
      <w:pPr>
        <w:pStyle w:val="a4"/>
        <w:numPr>
          <w:ilvl w:val="0"/>
          <w:numId w:val="12"/>
        </w:numPr>
        <w:jc w:val="both"/>
        <w:rPr>
          <w:rFonts w:ascii="Times New Roman" w:hAnsi="Times New Roman"/>
          <w:sz w:val="24"/>
          <w:szCs w:val="24"/>
        </w:rPr>
      </w:pPr>
      <w:r w:rsidRPr="00705BBC">
        <w:rPr>
          <w:rFonts w:ascii="Times New Roman" w:hAnsi="Times New Roman"/>
          <w:sz w:val="24"/>
          <w:szCs w:val="24"/>
        </w:rPr>
        <w:t xml:space="preserve">Για τις οξείες </w:t>
      </w:r>
      <w:proofErr w:type="spellStart"/>
      <w:r w:rsidRPr="00705BBC">
        <w:rPr>
          <w:rFonts w:ascii="Times New Roman" w:hAnsi="Times New Roman"/>
          <w:sz w:val="24"/>
          <w:szCs w:val="24"/>
        </w:rPr>
        <w:t>χολαγγειΐτιδες</w:t>
      </w:r>
      <w:proofErr w:type="spellEnd"/>
      <w:r w:rsidRPr="00705BBC">
        <w:rPr>
          <w:rFonts w:ascii="Times New Roman" w:hAnsi="Times New Roman"/>
          <w:sz w:val="24"/>
          <w:szCs w:val="24"/>
        </w:rPr>
        <w:t xml:space="preserve"> που εμφανίζονται μετά από </w:t>
      </w:r>
      <w:proofErr w:type="spellStart"/>
      <w:r w:rsidRPr="00705BBC">
        <w:rPr>
          <w:rFonts w:ascii="Times New Roman" w:hAnsi="Times New Roman"/>
          <w:sz w:val="24"/>
          <w:szCs w:val="24"/>
        </w:rPr>
        <w:t>χολοπεπτική</w:t>
      </w:r>
      <w:proofErr w:type="spellEnd"/>
      <w:r w:rsidRPr="00705BBC">
        <w:rPr>
          <w:rFonts w:ascii="Times New Roman" w:hAnsi="Times New Roman"/>
          <w:sz w:val="24"/>
          <w:szCs w:val="24"/>
        </w:rPr>
        <w:t xml:space="preserve"> αναστόμωση, ανεξάρτητα από τον βαθμό βαρύτητας συνιστάται ή ως άνω θεραπεία</w:t>
      </w:r>
    </w:p>
    <w:p w:rsidR="009945B0" w:rsidRPr="00705BBC" w:rsidRDefault="009945B0" w:rsidP="009945B0">
      <w:pPr>
        <w:pStyle w:val="a4"/>
        <w:numPr>
          <w:ilvl w:val="0"/>
          <w:numId w:val="12"/>
        </w:numPr>
        <w:jc w:val="both"/>
        <w:rPr>
          <w:rFonts w:ascii="Times New Roman" w:hAnsi="Times New Roman"/>
          <w:sz w:val="24"/>
          <w:szCs w:val="24"/>
        </w:rPr>
      </w:pPr>
      <w:r w:rsidRPr="00705BBC">
        <w:rPr>
          <w:rFonts w:ascii="Times New Roman" w:hAnsi="Times New Roman"/>
          <w:sz w:val="24"/>
          <w:szCs w:val="24"/>
        </w:rPr>
        <w:t xml:space="preserve">Για τις νοσοκομειακές λοιμώξεις των χοληφόρων και πάλι η ως άνω θεραπεία με την προσθήκη όμως </w:t>
      </w:r>
      <w:proofErr w:type="spellStart"/>
      <w:r w:rsidRPr="00705BBC">
        <w:rPr>
          <w:rFonts w:ascii="Times New Roman" w:hAnsi="Times New Roman"/>
          <w:sz w:val="24"/>
          <w:szCs w:val="24"/>
        </w:rPr>
        <w:t>βανκομυκίνης</w:t>
      </w:r>
      <w:proofErr w:type="spellEnd"/>
    </w:p>
    <w:p w:rsidR="009945B0" w:rsidRPr="00705BBC" w:rsidRDefault="009945B0" w:rsidP="009945B0">
      <w:pPr>
        <w:pStyle w:val="a4"/>
        <w:numPr>
          <w:ilvl w:val="0"/>
          <w:numId w:val="11"/>
        </w:numPr>
        <w:ind w:left="426" w:hanging="426"/>
        <w:jc w:val="both"/>
        <w:rPr>
          <w:rFonts w:ascii="Times New Roman" w:hAnsi="Times New Roman"/>
          <w:sz w:val="24"/>
          <w:szCs w:val="24"/>
        </w:rPr>
      </w:pPr>
      <w:r w:rsidRPr="00705BBC">
        <w:rPr>
          <w:rFonts w:ascii="Times New Roman" w:hAnsi="Times New Roman"/>
          <w:sz w:val="24"/>
          <w:szCs w:val="24"/>
        </w:rPr>
        <w:t xml:space="preserve">Οι ασθενείς που υποβάλλονται σε </w:t>
      </w:r>
      <w:proofErr w:type="spellStart"/>
      <w:r w:rsidRPr="00705BBC">
        <w:rPr>
          <w:rFonts w:ascii="Times New Roman" w:hAnsi="Times New Roman"/>
          <w:sz w:val="24"/>
          <w:szCs w:val="24"/>
        </w:rPr>
        <w:t>χολοκυστεκτομή</w:t>
      </w:r>
      <w:proofErr w:type="spellEnd"/>
      <w:r w:rsidRPr="00705BBC">
        <w:rPr>
          <w:rFonts w:ascii="Times New Roman" w:hAnsi="Times New Roman"/>
          <w:sz w:val="24"/>
          <w:szCs w:val="24"/>
        </w:rPr>
        <w:t xml:space="preserve"> εξ αιτίας οξείας χολοκυστίτιδας θα πρέπει να διακόψουν την αντιμικροβιακή θεραπεία  μετά πάροδο 24 ωρών, εκτός εάν υπάρχουν ενδείξεις λοίμωξης εκτός του τοιχώματος της χοληδόχου κύστεως (Β-ΙΙ)</w:t>
      </w:r>
    </w:p>
    <w:p w:rsidR="009945B0" w:rsidRPr="00705BBC" w:rsidRDefault="009945B0" w:rsidP="009945B0">
      <w:pPr>
        <w:pStyle w:val="a4"/>
        <w:numPr>
          <w:ilvl w:val="0"/>
          <w:numId w:val="11"/>
        </w:numPr>
        <w:ind w:left="426" w:hanging="426"/>
        <w:jc w:val="both"/>
        <w:rPr>
          <w:rFonts w:ascii="Times New Roman" w:hAnsi="Times New Roman"/>
          <w:sz w:val="24"/>
          <w:szCs w:val="24"/>
        </w:rPr>
      </w:pPr>
      <w:r w:rsidRPr="00705BBC">
        <w:rPr>
          <w:rFonts w:ascii="Times New Roman" w:hAnsi="Times New Roman"/>
          <w:sz w:val="24"/>
          <w:szCs w:val="24"/>
        </w:rPr>
        <w:t xml:space="preserve">Δεν χρειάζεται θεραπεία κατά των εντεροκόκκων στις περιπτώσεις </w:t>
      </w:r>
      <w:proofErr w:type="spellStart"/>
      <w:r w:rsidRPr="00705BBC">
        <w:rPr>
          <w:rFonts w:ascii="Times New Roman" w:hAnsi="Times New Roman"/>
          <w:sz w:val="24"/>
          <w:szCs w:val="24"/>
        </w:rPr>
        <w:t>εξωνοσοκομειακής</w:t>
      </w:r>
      <w:proofErr w:type="spellEnd"/>
      <w:r w:rsidRPr="00705BBC">
        <w:rPr>
          <w:rFonts w:ascii="Times New Roman" w:hAnsi="Times New Roman"/>
          <w:sz w:val="24"/>
          <w:szCs w:val="24"/>
        </w:rPr>
        <w:t xml:space="preserve"> λοίμωξης των χοληφόρων, παρά μόνο σε </w:t>
      </w:r>
      <w:proofErr w:type="spellStart"/>
      <w:r w:rsidRPr="00705BBC">
        <w:rPr>
          <w:rFonts w:ascii="Times New Roman" w:hAnsi="Times New Roman"/>
          <w:sz w:val="24"/>
          <w:szCs w:val="24"/>
        </w:rPr>
        <w:t>ανοσοκατασταλμένους</w:t>
      </w:r>
      <w:proofErr w:type="spellEnd"/>
      <w:r w:rsidRPr="00705BBC">
        <w:rPr>
          <w:rFonts w:ascii="Times New Roman" w:hAnsi="Times New Roman"/>
          <w:sz w:val="24"/>
          <w:szCs w:val="24"/>
        </w:rPr>
        <w:t xml:space="preserve"> ασθενείς και ειδικά σε όσους υποβλήθηκαν σε μεταμόσχευση ήπατος (Β-ΙΙΙ)</w:t>
      </w:r>
    </w:p>
    <w:p w:rsidR="009945B0" w:rsidRPr="00705BBC" w:rsidRDefault="009945B0" w:rsidP="00F85320">
      <w:pPr>
        <w:pStyle w:val="a4"/>
        <w:ind w:left="0"/>
        <w:jc w:val="both"/>
        <w:rPr>
          <w:rFonts w:ascii="Times New Roman" w:hAnsi="Times New Roman"/>
          <w:sz w:val="24"/>
          <w:szCs w:val="24"/>
        </w:rPr>
      </w:pPr>
    </w:p>
    <w:p w:rsidR="009945B0" w:rsidRPr="00705BBC" w:rsidRDefault="009945B0" w:rsidP="009945B0">
      <w:pPr>
        <w:jc w:val="both"/>
        <w:rPr>
          <w:b/>
        </w:rPr>
      </w:pPr>
      <w:r w:rsidRPr="00705BBC">
        <w:rPr>
          <w:b/>
        </w:rPr>
        <w:t>ΔΟΣΟΛΟΓΙΑ ΑΝΤΙΒΙΟΤΙΚΩΝ</w:t>
      </w:r>
    </w:p>
    <w:p w:rsidR="009945B0" w:rsidRPr="00705BBC" w:rsidRDefault="009945B0" w:rsidP="009945B0">
      <w:pPr>
        <w:pStyle w:val="a4"/>
        <w:numPr>
          <w:ilvl w:val="0"/>
          <w:numId w:val="15"/>
        </w:numPr>
        <w:ind w:left="426" w:hanging="426"/>
        <w:jc w:val="both"/>
        <w:rPr>
          <w:rFonts w:ascii="Times New Roman" w:hAnsi="Times New Roman"/>
          <w:sz w:val="24"/>
          <w:szCs w:val="24"/>
        </w:rPr>
      </w:pPr>
      <w:r w:rsidRPr="00705BBC">
        <w:rPr>
          <w:rFonts w:ascii="Times New Roman" w:hAnsi="Times New Roman"/>
          <w:sz w:val="24"/>
          <w:szCs w:val="24"/>
        </w:rPr>
        <w:t>Προκειμένου να διασφαλισθεί η μέγιστη αποτελεσματικότητα, η ελάχιστη τοξικότητα και να μειωθεί ο κίνδυνος ανάπτυξης μικροβιακής αντοχής, η εμπειρική θεραπεία των ασθενών με επιπεπλεγμένες ενδοκοιλιακές λοιμώξεις απαιτεί τη χορήγηση των αντιβιοτικών στη βέλτιστη δοσολογία (Β-ΙΙ)</w:t>
      </w:r>
    </w:p>
    <w:p w:rsidR="009945B0" w:rsidRPr="00705BBC" w:rsidRDefault="009945B0" w:rsidP="009945B0">
      <w:pPr>
        <w:pStyle w:val="a4"/>
        <w:numPr>
          <w:ilvl w:val="0"/>
          <w:numId w:val="15"/>
        </w:numPr>
        <w:ind w:left="426" w:hanging="426"/>
        <w:jc w:val="both"/>
        <w:rPr>
          <w:rFonts w:ascii="Times New Roman" w:hAnsi="Times New Roman"/>
          <w:sz w:val="24"/>
          <w:szCs w:val="24"/>
        </w:rPr>
      </w:pPr>
      <w:r w:rsidRPr="00705BBC">
        <w:rPr>
          <w:rFonts w:ascii="Times New Roman" w:hAnsi="Times New Roman"/>
          <w:sz w:val="24"/>
          <w:szCs w:val="24"/>
        </w:rPr>
        <w:t xml:space="preserve">Η χορήγηση των </w:t>
      </w:r>
      <w:proofErr w:type="spellStart"/>
      <w:r w:rsidRPr="00705BBC">
        <w:rPr>
          <w:rFonts w:ascii="Times New Roman" w:hAnsi="Times New Roman"/>
          <w:sz w:val="24"/>
          <w:szCs w:val="24"/>
        </w:rPr>
        <w:t>αμινογλυκοσιδών</w:t>
      </w:r>
      <w:proofErr w:type="spellEnd"/>
      <w:r w:rsidRPr="00705BBC">
        <w:rPr>
          <w:rFonts w:ascii="Times New Roman" w:hAnsi="Times New Roman"/>
          <w:sz w:val="24"/>
          <w:szCs w:val="24"/>
        </w:rPr>
        <w:t xml:space="preserve"> πρέπει να εξατομικεύεται ανάλογα με την καθαρή μάζα σώματος (</w:t>
      </w:r>
      <w:r w:rsidRPr="00705BBC">
        <w:rPr>
          <w:rFonts w:ascii="Times New Roman" w:hAnsi="Times New Roman"/>
          <w:sz w:val="24"/>
          <w:szCs w:val="24"/>
          <w:lang w:val="en-US"/>
        </w:rPr>
        <w:t>lean</w:t>
      </w:r>
      <w:r w:rsidRPr="00705BBC">
        <w:rPr>
          <w:rFonts w:ascii="Times New Roman" w:hAnsi="Times New Roman"/>
          <w:sz w:val="24"/>
          <w:szCs w:val="24"/>
        </w:rPr>
        <w:t xml:space="preserve"> </w:t>
      </w:r>
      <w:r w:rsidRPr="00705BBC">
        <w:rPr>
          <w:rFonts w:ascii="Times New Roman" w:hAnsi="Times New Roman"/>
          <w:sz w:val="24"/>
          <w:szCs w:val="24"/>
          <w:lang w:val="en-US"/>
        </w:rPr>
        <w:t>body</w:t>
      </w:r>
      <w:r w:rsidRPr="00705BBC">
        <w:rPr>
          <w:rFonts w:ascii="Times New Roman" w:hAnsi="Times New Roman"/>
          <w:sz w:val="24"/>
          <w:szCs w:val="24"/>
        </w:rPr>
        <w:t xml:space="preserve"> </w:t>
      </w:r>
      <w:r w:rsidRPr="00705BBC">
        <w:rPr>
          <w:rFonts w:ascii="Times New Roman" w:hAnsi="Times New Roman"/>
          <w:sz w:val="24"/>
          <w:szCs w:val="24"/>
          <w:lang w:val="en-US"/>
        </w:rPr>
        <w:t>mass</w:t>
      </w:r>
      <w:r w:rsidRPr="00705BBC">
        <w:rPr>
          <w:rFonts w:ascii="Times New Roman" w:hAnsi="Times New Roman"/>
          <w:sz w:val="24"/>
          <w:szCs w:val="24"/>
        </w:rPr>
        <w:t xml:space="preserve">) και τον υπολογιζόμενο </w:t>
      </w:r>
      <w:proofErr w:type="spellStart"/>
      <w:r w:rsidRPr="00705BBC">
        <w:rPr>
          <w:rFonts w:ascii="Times New Roman" w:hAnsi="Times New Roman"/>
          <w:sz w:val="24"/>
          <w:szCs w:val="24"/>
        </w:rPr>
        <w:t>εξωκυττάριο</w:t>
      </w:r>
      <w:proofErr w:type="spellEnd"/>
      <w:r w:rsidRPr="00705BBC">
        <w:rPr>
          <w:rFonts w:ascii="Times New Roman" w:hAnsi="Times New Roman"/>
          <w:sz w:val="24"/>
          <w:szCs w:val="24"/>
        </w:rPr>
        <w:t xml:space="preserve"> όγκο υγρών (Β-ΙΙΙ)</w:t>
      </w:r>
    </w:p>
    <w:p w:rsidR="009945B0" w:rsidRPr="00705BBC" w:rsidRDefault="009945B0" w:rsidP="009945B0">
      <w:pPr>
        <w:jc w:val="both"/>
      </w:pPr>
    </w:p>
    <w:p w:rsidR="009945B0" w:rsidRPr="00705BBC" w:rsidRDefault="009945B0" w:rsidP="009945B0">
      <w:pPr>
        <w:jc w:val="both"/>
        <w:rPr>
          <w:b/>
        </w:rPr>
      </w:pPr>
      <w:r w:rsidRPr="00705BBC">
        <w:rPr>
          <w:b/>
        </w:rPr>
        <w:t>Η ΧΡΗΣΗ ΤΩΝ ΑΠΟΤΕΛΕΣΜΑΤΩΝ ΤΩΝ ΜΙΚΡΟΒΙΟΛΟΓΙΚΩΝ ΚΑΛΛΙΕΡΓΕΙΩΝ ΣΤΗ ΡΥΘΜΙΣΗ ΤΗΣ ΑΝΤΙΚΡΟΒΙΑΚΗΣ ΘΕΡΑΠΕΙΑΣ</w:t>
      </w:r>
    </w:p>
    <w:p w:rsidR="009945B0" w:rsidRPr="00705BBC" w:rsidRDefault="009945B0" w:rsidP="009945B0">
      <w:pPr>
        <w:pStyle w:val="a4"/>
        <w:numPr>
          <w:ilvl w:val="0"/>
          <w:numId w:val="16"/>
        </w:numPr>
        <w:ind w:left="426" w:hanging="426"/>
        <w:jc w:val="both"/>
        <w:rPr>
          <w:rFonts w:ascii="Times New Roman" w:hAnsi="Times New Roman"/>
          <w:sz w:val="24"/>
          <w:szCs w:val="24"/>
        </w:rPr>
      </w:pPr>
      <w:r w:rsidRPr="00705BBC">
        <w:rPr>
          <w:rFonts w:ascii="Times New Roman" w:hAnsi="Times New Roman"/>
          <w:sz w:val="24"/>
          <w:szCs w:val="24"/>
        </w:rPr>
        <w:t>Οι ασθενείς χαμηλού κινδύνου με ενδοκοιλιακές λοιμώξεις της κοινότητας δεν χρειάζονται τροποποίηση της θεραπείας τους, εφ όσον υπάρξει ικανοποιητικός έλεγχος της πηγής της λοίμωξης και καλή κλινική ανταπόκριση, ακόμη και αν στη συνέχεια αναφερθεί από το μικροβιολογικό εργαστήριο παρουσία ασυνήθιστων μικροβίων που δεν καλύπτονται από το αντιμικροβιακό σχήμα που χορηγείται (Β-ΙΙΙ)</w:t>
      </w:r>
    </w:p>
    <w:p w:rsidR="009945B0" w:rsidRPr="00705BBC" w:rsidRDefault="009945B0" w:rsidP="009945B0">
      <w:pPr>
        <w:pStyle w:val="a4"/>
        <w:numPr>
          <w:ilvl w:val="0"/>
          <w:numId w:val="16"/>
        </w:numPr>
        <w:ind w:left="426" w:hanging="426"/>
        <w:jc w:val="both"/>
        <w:rPr>
          <w:rFonts w:ascii="Times New Roman" w:hAnsi="Times New Roman"/>
          <w:sz w:val="24"/>
          <w:szCs w:val="24"/>
        </w:rPr>
      </w:pPr>
      <w:r w:rsidRPr="00705BBC">
        <w:rPr>
          <w:rFonts w:ascii="Times New Roman" w:hAnsi="Times New Roman"/>
          <w:sz w:val="24"/>
          <w:szCs w:val="24"/>
        </w:rPr>
        <w:t xml:space="preserve">Αν, στους ασθενείς χαμηλού κινδύνου, κατά τους αρχικούς ιατρικούς χειρισμούς αποκαλυφθούν ανθεκτικά μικροβιακά στελέχη και παράλληλα υπάρχουν σημεία συνεχιζόμενης λοίμωξης, τότε η θεραπεία θα πρέπει να είναι </w:t>
      </w:r>
      <w:proofErr w:type="spellStart"/>
      <w:r w:rsidRPr="00705BBC">
        <w:rPr>
          <w:rFonts w:ascii="Times New Roman" w:hAnsi="Times New Roman"/>
          <w:sz w:val="24"/>
          <w:szCs w:val="24"/>
        </w:rPr>
        <w:t>στοχευμένη</w:t>
      </w:r>
      <w:proofErr w:type="spellEnd"/>
      <w:r w:rsidRPr="00705BBC">
        <w:rPr>
          <w:rFonts w:ascii="Times New Roman" w:hAnsi="Times New Roman"/>
          <w:sz w:val="24"/>
          <w:szCs w:val="24"/>
        </w:rPr>
        <w:t xml:space="preserve"> (Β-ΙΙΙ)</w:t>
      </w:r>
    </w:p>
    <w:p w:rsidR="009945B0" w:rsidRPr="00705BBC" w:rsidRDefault="009945B0" w:rsidP="009945B0">
      <w:pPr>
        <w:pStyle w:val="a4"/>
        <w:numPr>
          <w:ilvl w:val="0"/>
          <w:numId w:val="16"/>
        </w:numPr>
        <w:ind w:left="426" w:hanging="426"/>
        <w:jc w:val="both"/>
        <w:rPr>
          <w:rFonts w:ascii="Times New Roman" w:hAnsi="Times New Roman"/>
          <w:sz w:val="24"/>
          <w:szCs w:val="24"/>
        </w:rPr>
      </w:pPr>
      <w:r w:rsidRPr="00705BBC">
        <w:rPr>
          <w:rFonts w:ascii="Times New Roman" w:hAnsi="Times New Roman"/>
          <w:sz w:val="24"/>
          <w:szCs w:val="24"/>
        </w:rPr>
        <w:t xml:space="preserve">Στους ασθενείς με σοβαρή </w:t>
      </w:r>
      <w:proofErr w:type="spellStart"/>
      <w:r w:rsidRPr="00705BBC">
        <w:rPr>
          <w:rFonts w:ascii="Times New Roman" w:hAnsi="Times New Roman"/>
          <w:sz w:val="24"/>
          <w:szCs w:val="24"/>
        </w:rPr>
        <w:t>εξωνοσοκομειακή</w:t>
      </w:r>
      <w:proofErr w:type="spellEnd"/>
      <w:r w:rsidRPr="00705BBC">
        <w:rPr>
          <w:rFonts w:ascii="Times New Roman" w:hAnsi="Times New Roman"/>
          <w:sz w:val="24"/>
          <w:szCs w:val="24"/>
        </w:rPr>
        <w:t xml:space="preserve"> ή νοσοκομειακή λοίμωξη, η χρήση των αποτελεσμάτων που θα ανακοινώσει το μικροβιολογικό εργαστήριο θα γίνει με γνώμονα την δυνατότητα των μικροβίων που αποκαλύφθηκαν να προκαλέσουν τη συγκεκριμένη λοίμωξη αλλά και την πυκνότητά τους στο υλικό που μελετήθηκε (</w:t>
      </w:r>
      <w:r w:rsidRPr="00705BBC">
        <w:rPr>
          <w:rFonts w:ascii="Times New Roman" w:hAnsi="Times New Roman"/>
          <w:sz w:val="24"/>
          <w:szCs w:val="24"/>
          <w:lang w:val="en-US"/>
        </w:rPr>
        <w:t>B</w:t>
      </w:r>
      <w:r w:rsidRPr="00705BBC">
        <w:rPr>
          <w:rFonts w:ascii="Times New Roman" w:hAnsi="Times New Roman"/>
          <w:sz w:val="24"/>
          <w:szCs w:val="24"/>
        </w:rPr>
        <w:t>-</w:t>
      </w:r>
      <w:r w:rsidRPr="00705BBC">
        <w:rPr>
          <w:rFonts w:ascii="Times New Roman" w:hAnsi="Times New Roman"/>
          <w:sz w:val="24"/>
          <w:szCs w:val="24"/>
          <w:lang w:val="en-US"/>
        </w:rPr>
        <w:t>III</w:t>
      </w:r>
      <w:r w:rsidRPr="00705BBC">
        <w:rPr>
          <w:rFonts w:ascii="Times New Roman" w:hAnsi="Times New Roman"/>
          <w:sz w:val="24"/>
          <w:szCs w:val="24"/>
        </w:rPr>
        <w:t>)</w:t>
      </w:r>
    </w:p>
    <w:p w:rsidR="009945B0" w:rsidRPr="00705BBC" w:rsidRDefault="009945B0" w:rsidP="009945B0">
      <w:pPr>
        <w:pStyle w:val="a4"/>
        <w:numPr>
          <w:ilvl w:val="0"/>
          <w:numId w:val="16"/>
        </w:numPr>
        <w:ind w:left="426" w:hanging="426"/>
        <w:jc w:val="both"/>
        <w:rPr>
          <w:rFonts w:ascii="Times New Roman" w:hAnsi="Times New Roman"/>
          <w:sz w:val="24"/>
          <w:szCs w:val="24"/>
        </w:rPr>
      </w:pPr>
      <w:r w:rsidRPr="00705BBC">
        <w:rPr>
          <w:rFonts w:ascii="Times New Roman" w:hAnsi="Times New Roman"/>
          <w:sz w:val="24"/>
          <w:szCs w:val="24"/>
        </w:rPr>
        <w:t>Τα μικρόβια που αποκαλύπτονται από τις καλλιέργειες θα πρέπει να θεωρούνται ως κλινικά σημαντικά εάν έχουν διαπιστωμένη ικανότητα να προκαλέσουν την συγκεκριμένη ενδοκοιλιακή λοίμωξη ή αν είναι παρόντα σε ≥2 αιμοκαλλιέργειες (Α-Ι) ή αν πιστοποιείται η ανάπτυξή τους σε μέτριες η σημαντικές πυκνότητες από υλικό των παροχετεύσεων (Β-ΙΙ)</w:t>
      </w:r>
    </w:p>
    <w:p w:rsidR="009945B0" w:rsidRPr="00705BBC" w:rsidRDefault="009945B0" w:rsidP="009945B0">
      <w:pPr>
        <w:jc w:val="both"/>
      </w:pPr>
    </w:p>
    <w:p w:rsidR="009945B0" w:rsidRPr="00705BBC" w:rsidRDefault="009945B0" w:rsidP="009945B0">
      <w:pPr>
        <w:jc w:val="both"/>
        <w:rPr>
          <w:b/>
        </w:rPr>
      </w:pPr>
      <w:r w:rsidRPr="00705BBC">
        <w:rPr>
          <w:b/>
        </w:rPr>
        <w:t>ΔΙΑΡΚΕΙΑ ΑΝΤΙΜΙΚΡΟΒΙΑΚΗΣ ΘΕΡΑΠΕΙΑΣ</w:t>
      </w:r>
    </w:p>
    <w:p w:rsidR="009945B0" w:rsidRPr="00705BBC" w:rsidRDefault="009945B0" w:rsidP="009945B0">
      <w:pPr>
        <w:pStyle w:val="a4"/>
        <w:numPr>
          <w:ilvl w:val="0"/>
          <w:numId w:val="17"/>
        </w:numPr>
        <w:ind w:left="426" w:hanging="426"/>
        <w:jc w:val="both"/>
        <w:rPr>
          <w:rFonts w:ascii="Times New Roman" w:hAnsi="Times New Roman"/>
          <w:sz w:val="24"/>
          <w:szCs w:val="24"/>
        </w:rPr>
      </w:pPr>
      <w:r w:rsidRPr="00705BBC">
        <w:rPr>
          <w:rFonts w:ascii="Times New Roman" w:hAnsi="Times New Roman"/>
          <w:sz w:val="24"/>
          <w:szCs w:val="24"/>
        </w:rPr>
        <w:t>Η αντιμικροβιακή θεραπεία μιας διαπιστωμένης λοίμωξης θα πρέπει να περιορίζεται σε 4-7 ημέρες, εκτός εάν είναι δύσκολο να υπάρξει έλεγχος της εστίας της λοίμωξης. Οι μεγαλύτερης διάρκειας θεραπείες δεν έχουν αποδειχθεί αποτελεσματικότερες (</w:t>
      </w:r>
      <w:r w:rsidRPr="00705BBC">
        <w:rPr>
          <w:rFonts w:ascii="Times New Roman" w:hAnsi="Times New Roman"/>
          <w:sz w:val="24"/>
          <w:szCs w:val="24"/>
          <w:lang w:val="en-US"/>
        </w:rPr>
        <w:t>B</w:t>
      </w:r>
      <w:r w:rsidRPr="00705BBC">
        <w:rPr>
          <w:rFonts w:ascii="Times New Roman" w:hAnsi="Times New Roman"/>
          <w:sz w:val="24"/>
          <w:szCs w:val="24"/>
        </w:rPr>
        <w:t>-</w:t>
      </w:r>
      <w:r w:rsidRPr="00705BBC">
        <w:rPr>
          <w:rFonts w:ascii="Times New Roman" w:hAnsi="Times New Roman"/>
          <w:sz w:val="24"/>
          <w:szCs w:val="24"/>
          <w:lang w:val="en-US"/>
        </w:rPr>
        <w:t>III</w:t>
      </w:r>
      <w:r w:rsidRPr="00705BBC">
        <w:rPr>
          <w:rFonts w:ascii="Times New Roman" w:hAnsi="Times New Roman"/>
          <w:sz w:val="24"/>
          <w:szCs w:val="24"/>
        </w:rPr>
        <w:t>)</w:t>
      </w:r>
    </w:p>
    <w:p w:rsidR="009945B0" w:rsidRPr="00705BBC" w:rsidRDefault="009945B0" w:rsidP="009945B0">
      <w:pPr>
        <w:pStyle w:val="a4"/>
        <w:numPr>
          <w:ilvl w:val="0"/>
          <w:numId w:val="17"/>
        </w:numPr>
        <w:ind w:left="426" w:hanging="426"/>
        <w:jc w:val="both"/>
        <w:rPr>
          <w:rFonts w:ascii="Times New Roman" w:hAnsi="Times New Roman"/>
          <w:sz w:val="24"/>
          <w:szCs w:val="24"/>
        </w:rPr>
      </w:pPr>
      <w:r w:rsidRPr="00705BBC">
        <w:rPr>
          <w:rFonts w:ascii="Times New Roman" w:hAnsi="Times New Roman"/>
          <w:sz w:val="24"/>
          <w:szCs w:val="24"/>
        </w:rPr>
        <w:t xml:space="preserve">Στις οξείες διατρήσεις του στομάχου και της εγγύς νήστιδας και επί απουσίας θεραπείας μείωσης της γαστρικής οξύτητας ή κακοήθους νόσου και εφ όσον ο έλεγχος του προβλήματος έχει επιτευχθεί  μέσα σε 24 ώρες, η μιας ημέρας προφυλακτική αντιμικροβιακή αγωγή που κατευθύνεται έναντι των αερόβιων </w:t>
      </w:r>
      <w:r w:rsidRPr="00705BBC">
        <w:rPr>
          <w:rFonts w:ascii="Times New Roman" w:hAnsi="Times New Roman"/>
          <w:sz w:val="24"/>
          <w:szCs w:val="24"/>
          <w:lang w:val="en-US"/>
        </w:rPr>
        <w:t>Gram</w:t>
      </w:r>
      <w:r w:rsidRPr="00705BBC">
        <w:rPr>
          <w:rFonts w:ascii="Times New Roman" w:hAnsi="Times New Roman"/>
          <w:sz w:val="24"/>
          <w:szCs w:val="24"/>
        </w:rPr>
        <w:t>-θετικών κόκκων είναι επαρκής (Β-ΙΙ)</w:t>
      </w:r>
    </w:p>
    <w:p w:rsidR="009945B0" w:rsidRPr="00705BBC" w:rsidRDefault="009945B0" w:rsidP="009945B0">
      <w:pPr>
        <w:pStyle w:val="a4"/>
        <w:numPr>
          <w:ilvl w:val="0"/>
          <w:numId w:val="17"/>
        </w:numPr>
        <w:ind w:left="426" w:hanging="426"/>
        <w:jc w:val="both"/>
        <w:rPr>
          <w:rFonts w:ascii="Times New Roman" w:hAnsi="Times New Roman"/>
          <w:sz w:val="24"/>
          <w:szCs w:val="24"/>
        </w:rPr>
      </w:pPr>
      <w:r w:rsidRPr="00705BBC">
        <w:rPr>
          <w:rFonts w:ascii="Times New Roman" w:hAnsi="Times New Roman"/>
          <w:sz w:val="24"/>
          <w:szCs w:val="24"/>
        </w:rPr>
        <w:t xml:space="preserve">Αν η χειρουργική επέμβαση για το ανωτέρω πρόβλημα έχει καθυστερήσει,  ή αν ο ασθενής ελάμβανε θεραπεία μείωσης της γαστρικής οξύτητας ή έπασχε από κακοήθη νόσο, τότε η αντιμικροβιακή αγωγή θα πρέπει να καλύψει μικτή μικροβιακή χλωρίδα (δηλαδή όπως στις επιπεπλεγμένες λοιμώξεις του </w:t>
      </w:r>
      <w:proofErr w:type="spellStart"/>
      <w:r w:rsidRPr="00705BBC">
        <w:rPr>
          <w:rFonts w:ascii="Times New Roman" w:hAnsi="Times New Roman"/>
          <w:sz w:val="24"/>
          <w:szCs w:val="24"/>
        </w:rPr>
        <w:t>παχέος</w:t>
      </w:r>
      <w:proofErr w:type="spellEnd"/>
      <w:r w:rsidRPr="00705BBC">
        <w:rPr>
          <w:rFonts w:ascii="Times New Roman" w:hAnsi="Times New Roman"/>
          <w:sz w:val="24"/>
          <w:szCs w:val="24"/>
        </w:rPr>
        <w:t xml:space="preserve"> εντέρου (Β-ΙΙΙ)</w:t>
      </w:r>
    </w:p>
    <w:p w:rsidR="009945B0" w:rsidRPr="00705BBC" w:rsidRDefault="009945B0" w:rsidP="009945B0">
      <w:pPr>
        <w:pStyle w:val="a4"/>
        <w:ind w:left="426"/>
        <w:jc w:val="both"/>
        <w:rPr>
          <w:rFonts w:ascii="Times New Roman" w:hAnsi="Times New Roman"/>
          <w:sz w:val="24"/>
          <w:szCs w:val="24"/>
        </w:rPr>
      </w:pPr>
      <w:r w:rsidRPr="00705BBC">
        <w:rPr>
          <w:rFonts w:ascii="Times New Roman" w:hAnsi="Times New Roman"/>
          <w:sz w:val="24"/>
          <w:szCs w:val="24"/>
        </w:rPr>
        <w:t xml:space="preserve">Στις βλάβες του εντέρου που οφείλονται σε τραυματισμό από </w:t>
      </w:r>
      <w:proofErr w:type="spellStart"/>
      <w:r w:rsidRPr="00705BBC">
        <w:rPr>
          <w:rFonts w:ascii="Times New Roman" w:hAnsi="Times New Roman"/>
          <w:sz w:val="24"/>
          <w:szCs w:val="24"/>
        </w:rPr>
        <w:t>διατιτραίνον</w:t>
      </w:r>
      <w:proofErr w:type="spellEnd"/>
      <w:r w:rsidRPr="00705BBC">
        <w:rPr>
          <w:rFonts w:ascii="Times New Roman" w:hAnsi="Times New Roman"/>
          <w:sz w:val="24"/>
          <w:szCs w:val="24"/>
        </w:rPr>
        <w:t xml:space="preserve"> ή αμβλύ όργανο ή προέκυψαν </w:t>
      </w:r>
      <w:proofErr w:type="spellStart"/>
      <w:r w:rsidRPr="00705BBC">
        <w:rPr>
          <w:rFonts w:ascii="Times New Roman" w:hAnsi="Times New Roman"/>
          <w:sz w:val="24"/>
          <w:szCs w:val="24"/>
        </w:rPr>
        <w:t>ιατρογενώς</w:t>
      </w:r>
      <w:proofErr w:type="spellEnd"/>
      <w:r w:rsidRPr="00705BBC">
        <w:rPr>
          <w:rFonts w:ascii="Times New Roman" w:hAnsi="Times New Roman"/>
          <w:sz w:val="24"/>
          <w:szCs w:val="24"/>
        </w:rPr>
        <w:t xml:space="preserve"> και έχουν διορθωθεί εντός 12ώρου, καθώς και στις επιμολύνσεις του χειρουργικού πεδίου από εντερικά βακτηρίδια που συμβαίνουν κατά τη διάρκεια της επέμβασης, η αντιμικροβιακή θεραπεία δεν θα πρέπει να υπερβαίνει τις 24 ώρες (Α-Ι)</w:t>
      </w:r>
    </w:p>
    <w:p w:rsidR="009945B0" w:rsidRPr="00705BBC" w:rsidRDefault="009945B0" w:rsidP="009945B0">
      <w:pPr>
        <w:pStyle w:val="a4"/>
        <w:numPr>
          <w:ilvl w:val="0"/>
          <w:numId w:val="17"/>
        </w:numPr>
        <w:ind w:left="426" w:hanging="426"/>
        <w:jc w:val="both"/>
        <w:rPr>
          <w:rFonts w:ascii="Times New Roman" w:hAnsi="Times New Roman"/>
          <w:sz w:val="24"/>
          <w:szCs w:val="24"/>
        </w:rPr>
      </w:pPr>
      <w:r w:rsidRPr="00705BBC">
        <w:rPr>
          <w:rFonts w:ascii="Times New Roman" w:hAnsi="Times New Roman"/>
          <w:sz w:val="24"/>
          <w:szCs w:val="24"/>
        </w:rPr>
        <w:t xml:space="preserve">Η οξεία σκωληκοειδίτιδα χωρίς ενδείξεις διάτρησης, σχηματισμού αποστήματος ή τοπικής περιτονίτιδας απαιτεί μόνο τη χορήγηση προφυλακτικής αγωγής περιορισμένου φάσματος </w:t>
      </w:r>
      <w:r w:rsidRPr="00705BBC">
        <w:rPr>
          <w:rFonts w:ascii="Times New Roman" w:hAnsi="Times New Roman"/>
          <w:sz w:val="24"/>
          <w:szCs w:val="24"/>
        </w:rPr>
        <w:lastRenderedPageBreak/>
        <w:t xml:space="preserve">που θα είναι δραστική έναντι των </w:t>
      </w:r>
      <w:proofErr w:type="spellStart"/>
      <w:r w:rsidRPr="00705BBC">
        <w:rPr>
          <w:rFonts w:ascii="Times New Roman" w:hAnsi="Times New Roman"/>
          <w:sz w:val="24"/>
          <w:szCs w:val="24"/>
        </w:rPr>
        <w:t>αεροβίων</w:t>
      </w:r>
      <w:proofErr w:type="spellEnd"/>
      <w:r w:rsidRPr="00705BBC">
        <w:rPr>
          <w:rFonts w:ascii="Times New Roman" w:hAnsi="Times New Roman"/>
          <w:sz w:val="24"/>
          <w:szCs w:val="24"/>
        </w:rPr>
        <w:t xml:space="preserve"> και δυνητικά </w:t>
      </w:r>
      <w:proofErr w:type="spellStart"/>
      <w:r w:rsidRPr="00705BBC">
        <w:rPr>
          <w:rFonts w:ascii="Times New Roman" w:hAnsi="Times New Roman"/>
          <w:sz w:val="24"/>
          <w:szCs w:val="24"/>
        </w:rPr>
        <w:t>αναεροβίων</w:t>
      </w:r>
      <w:proofErr w:type="spellEnd"/>
      <w:r w:rsidRPr="00705BBC">
        <w:rPr>
          <w:rFonts w:ascii="Times New Roman" w:hAnsi="Times New Roman"/>
          <w:sz w:val="24"/>
          <w:szCs w:val="24"/>
        </w:rPr>
        <w:t xml:space="preserve"> μικροβίων. Η θεραπεία θα πρέπει να τερματίζεται έπειτα από 24 ώρες (Α-Ι)</w:t>
      </w:r>
    </w:p>
    <w:p w:rsidR="009945B0" w:rsidRPr="00705BBC" w:rsidRDefault="009945B0" w:rsidP="009945B0">
      <w:pPr>
        <w:pStyle w:val="a4"/>
        <w:numPr>
          <w:ilvl w:val="0"/>
          <w:numId w:val="17"/>
        </w:numPr>
        <w:ind w:left="426" w:hanging="426"/>
        <w:jc w:val="both"/>
        <w:rPr>
          <w:rFonts w:ascii="Times New Roman" w:hAnsi="Times New Roman"/>
          <w:sz w:val="24"/>
          <w:szCs w:val="24"/>
        </w:rPr>
      </w:pPr>
      <w:r w:rsidRPr="00705BBC">
        <w:rPr>
          <w:rFonts w:ascii="Times New Roman" w:hAnsi="Times New Roman"/>
          <w:sz w:val="24"/>
          <w:szCs w:val="24"/>
        </w:rPr>
        <w:t xml:space="preserve">Η χορήγηση προφυλακτικής </w:t>
      </w:r>
      <w:proofErr w:type="spellStart"/>
      <w:r w:rsidRPr="00705BBC">
        <w:rPr>
          <w:rFonts w:ascii="Times New Roman" w:hAnsi="Times New Roman"/>
          <w:sz w:val="24"/>
          <w:szCs w:val="24"/>
        </w:rPr>
        <w:t>αντιμικροβιακής</w:t>
      </w:r>
      <w:proofErr w:type="spellEnd"/>
      <w:r w:rsidRPr="00705BBC">
        <w:rPr>
          <w:rFonts w:ascii="Times New Roman" w:hAnsi="Times New Roman"/>
          <w:sz w:val="24"/>
          <w:szCs w:val="24"/>
        </w:rPr>
        <w:t xml:space="preserve"> αγωγής στους ασθενείς με σοβαρή νεκρωτική παγκρεατίτιδα, πριν τη διάγνωση της λοίμωξης, δεν συνιστάται (Α-Ι)</w:t>
      </w:r>
    </w:p>
    <w:p w:rsidR="009945B0" w:rsidRPr="00705BBC" w:rsidRDefault="009945B0" w:rsidP="009945B0">
      <w:pPr>
        <w:jc w:val="both"/>
      </w:pPr>
      <w:r w:rsidRPr="00705BBC">
        <w:t>Οι οδηγίες επισημαίνουν την ανάγκη ορθολογικής χρήσης των αντιβιοτικών και δίνουν έμφαση στο θέμα της χορήγησης αντιβιοτικών στη νεκρωτική παγκρεατίτιδα, επικαλούμενοι τα διαθέσιμα βιβλιογραφικά στοιχεία.</w:t>
      </w:r>
    </w:p>
    <w:p w:rsidR="009945B0" w:rsidRPr="00705BBC" w:rsidRDefault="009945B0" w:rsidP="009945B0">
      <w:pPr>
        <w:jc w:val="both"/>
      </w:pPr>
    </w:p>
    <w:p w:rsidR="009945B0" w:rsidRPr="00705BBC" w:rsidRDefault="009945B0" w:rsidP="009945B0">
      <w:pPr>
        <w:jc w:val="both"/>
        <w:rPr>
          <w:b/>
        </w:rPr>
      </w:pPr>
      <w:r w:rsidRPr="00705BBC">
        <w:rPr>
          <w:b/>
        </w:rPr>
        <w:t>Η ΑΠΟ ΤΟΥ ΣΤΟΜΑΤΟΣ ΧΟΡΗΓΗΣΗ ΑΝΤΙΜΙΚΡΟΒΙΑΚΗΣ ΑΓΩΓΗΣ</w:t>
      </w:r>
    </w:p>
    <w:p w:rsidR="009945B0" w:rsidRPr="00705BBC" w:rsidRDefault="009945B0" w:rsidP="009945B0">
      <w:pPr>
        <w:pStyle w:val="a4"/>
        <w:numPr>
          <w:ilvl w:val="0"/>
          <w:numId w:val="18"/>
        </w:numPr>
        <w:ind w:left="426" w:hanging="426"/>
        <w:jc w:val="both"/>
        <w:rPr>
          <w:rFonts w:ascii="Times New Roman" w:hAnsi="Times New Roman"/>
          <w:sz w:val="24"/>
          <w:szCs w:val="24"/>
        </w:rPr>
      </w:pPr>
      <w:r w:rsidRPr="00705BBC">
        <w:rPr>
          <w:rFonts w:ascii="Times New Roman" w:hAnsi="Times New Roman"/>
          <w:sz w:val="24"/>
          <w:szCs w:val="24"/>
        </w:rPr>
        <w:t>Δεν υπάρχει ανάγκη συνέχισης της χορήγησης αντιβιοτικών στους ενήλικες και τα παιδιά, όταν τα σημεία της λοίμωξης έχουν εξαλειφθεί (Β-ΙΙΙ)</w:t>
      </w:r>
    </w:p>
    <w:p w:rsidR="009945B0" w:rsidRPr="00705BBC" w:rsidRDefault="009945B0" w:rsidP="009945B0">
      <w:pPr>
        <w:pStyle w:val="a4"/>
        <w:numPr>
          <w:ilvl w:val="0"/>
          <w:numId w:val="18"/>
        </w:numPr>
        <w:ind w:left="426" w:hanging="426"/>
        <w:jc w:val="both"/>
        <w:rPr>
          <w:rFonts w:ascii="Times New Roman" w:hAnsi="Times New Roman"/>
          <w:sz w:val="24"/>
          <w:szCs w:val="24"/>
        </w:rPr>
      </w:pPr>
      <w:r w:rsidRPr="00705BBC">
        <w:rPr>
          <w:rFonts w:ascii="Times New Roman" w:hAnsi="Times New Roman"/>
          <w:sz w:val="24"/>
          <w:szCs w:val="24"/>
        </w:rPr>
        <w:t xml:space="preserve">Οι ενήλικες ασθενείς που </w:t>
      </w:r>
      <w:proofErr w:type="spellStart"/>
      <w:r w:rsidRPr="00705BBC">
        <w:rPr>
          <w:rFonts w:ascii="Times New Roman" w:hAnsi="Times New Roman"/>
          <w:sz w:val="24"/>
          <w:szCs w:val="24"/>
        </w:rPr>
        <w:t>ανανήπτουν</w:t>
      </w:r>
      <w:proofErr w:type="spellEnd"/>
      <w:r w:rsidRPr="00705BBC">
        <w:rPr>
          <w:rFonts w:ascii="Times New Roman" w:hAnsi="Times New Roman"/>
          <w:sz w:val="24"/>
          <w:szCs w:val="24"/>
        </w:rPr>
        <w:t xml:space="preserve"> από μια </w:t>
      </w:r>
      <w:proofErr w:type="spellStart"/>
      <w:r w:rsidRPr="00705BBC">
        <w:rPr>
          <w:rFonts w:ascii="Times New Roman" w:hAnsi="Times New Roman"/>
          <w:sz w:val="24"/>
          <w:szCs w:val="24"/>
        </w:rPr>
        <w:t>ενδοκοιλιακή</w:t>
      </w:r>
      <w:proofErr w:type="spellEnd"/>
      <w:r w:rsidRPr="00705BBC">
        <w:rPr>
          <w:rFonts w:ascii="Times New Roman" w:hAnsi="Times New Roman"/>
          <w:sz w:val="24"/>
          <w:szCs w:val="24"/>
        </w:rPr>
        <w:t xml:space="preserve"> λοίμωξη, είναι αποδεκτό να συνεχίσουν την θεραπεία τους με από του στόματος σκευάσματα, όπως η </w:t>
      </w:r>
      <w:proofErr w:type="spellStart"/>
      <w:r w:rsidRPr="00705BBC">
        <w:rPr>
          <w:rFonts w:ascii="Times New Roman" w:hAnsi="Times New Roman"/>
          <w:sz w:val="24"/>
          <w:szCs w:val="24"/>
        </w:rPr>
        <w:t>μοξιφλοξασίνη</w:t>
      </w:r>
      <w:proofErr w:type="spellEnd"/>
      <w:r w:rsidRPr="00705BBC">
        <w:rPr>
          <w:rFonts w:ascii="Times New Roman" w:hAnsi="Times New Roman"/>
          <w:sz w:val="24"/>
          <w:szCs w:val="24"/>
        </w:rPr>
        <w:t xml:space="preserve">, η </w:t>
      </w:r>
      <w:proofErr w:type="spellStart"/>
      <w:r w:rsidRPr="00705BBC">
        <w:rPr>
          <w:rFonts w:ascii="Times New Roman" w:hAnsi="Times New Roman"/>
          <w:sz w:val="24"/>
          <w:szCs w:val="24"/>
        </w:rPr>
        <w:t>σιπροφλοξασίνη</w:t>
      </w:r>
      <w:proofErr w:type="spellEnd"/>
      <w:r w:rsidRPr="00705BBC">
        <w:rPr>
          <w:rFonts w:ascii="Times New Roman" w:hAnsi="Times New Roman"/>
          <w:sz w:val="24"/>
          <w:szCs w:val="24"/>
        </w:rPr>
        <w:t xml:space="preserve">, η </w:t>
      </w:r>
      <w:proofErr w:type="spellStart"/>
      <w:r w:rsidRPr="00705BBC">
        <w:rPr>
          <w:rFonts w:ascii="Times New Roman" w:hAnsi="Times New Roman"/>
          <w:sz w:val="24"/>
          <w:szCs w:val="24"/>
        </w:rPr>
        <w:t>λεβοφλοξασίνη</w:t>
      </w:r>
      <w:proofErr w:type="spellEnd"/>
      <w:r w:rsidRPr="00705BBC">
        <w:rPr>
          <w:rFonts w:ascii="Times New Roman" w:hAnsi="Times New Roman"/>
          <w:sz w:val="24"/>
          <w:szCs w:val="24"/>
        </w:rPr>
        <w:t xml:space="preserve"> ή μια διαθέσιμη σε από του στόματος μορφή </w:t>
      </w:r>
      <w:proofErr w:type="spellStart"/>
      <w:r w:rsidRPr="00705BBC">
        <w:rPr>
          <w:rFonts w:ascii="Times New Roman" w:hAnsi="Times New Roman"/>
          <w:sz w:val="24"/>
          <w:szCs w:val="24"/>
        </w:rPr>
        <w:t>κεφαλοσπορίνη</w:t>
      </w:r>
      <w:proofErr w:type="spellEnd"/>
      <w:r w:rsidRPr="00705BBC">
        <w:rPr>
          <w:rFonts w:ascii="Times New Roman" w:hAnsi="Times New Roman"/>
          <w:sz w:val="24"/>
          <w:szCs w:val="24"/>
        </w:rPr>
        <w:t xml:space="preserve"> σε συνδυασμό με </w:t>
      </w:r>
      <w:proofErr w:type="spellStart"/>
      <w:r w:rsidRPr="00705BBC">
        <w:rPr>
          <w:rFonts w:ascii="Times New Roman" w:hAnsi="Times New Roman"/>
          <w:sz w:val="24"/>
          <w:szCs w:val="24"/>
        </w:rPr>
        <w:t>μετρονιδαζόλη</w:t>
      </w:r>
      <w:proofErr w:type="spellEnd"/>
      <w:r w:rsidRPr="00705BBC">
        <w:rPr>
          <w:rFonts w:ascii="Times New Roman" w:hAnsi="Times New Roman"/>
          <w:sz w:val="24"/>
          <w:szCs w:val="24"/>
        </w:rPr>
        <w:t xml:space="preserve">, καθώς και η </w:t>
      </w:r>
      <w:proofErr w:type="spellStart"/>
      <w:r w:rsidRPr="00705BBC">
        <w:rPr>
          <w:rFonts w:ascii="Times New Roman" w:hAnsi="Times New Roman"/>
          <w:sz w:val="24"/>
          <w:szCs w:val="24"/>
        </w:rPr>
        <w:t>αμοξυκιλίνη–κλαβουλανικό</w:t>
      </w:r>
      <w:proofErr w:type="spellEnd"/>
      <w:r w:rsidRPr="00705BBC">
        <w:rPr>
          <w:rFonts w:ascii="Times New Roman" w:hAnsi="Times New Roman"/>
          <w:sz w:val="24"/>
          <w:szCs w:val="24"/>
        </w:rPr>
        <w:t xml:space="preserve"> οξύ, υπό τον όρο ότι μπορούν να δεχθούν εντερική διατροφή και δεν υπάρχουν προβλήματα μικροβιακής αντοχής με τους ως άνω παράγοντες. (Β-ΙΙ)</w:t>
      </w:r>
    </w:p>
    <w:p w:rsidR="009945B0" w:rsidRPr="00705BBC" w:rsidRDefault="009945B0" w:rsidP="009945B0">
      <w:pPr>
        <w:pStyle w:val="a4"/>
        <w:numPr>
          <w:ilvl w:val="0"/>
          <w:numId w:val="18"/>
        </w:numPr>
        <w:ind w:left="426" w:hanging="426"/>
        <w:jc w:val="both"/>
        <w:rPr>
          <w:rFonts w:ascii="Times New Roman" w:hAnsi="Times New Roman"/>
          <w:sz w:val="24"/>
          <w:szCs w:val="24"/>
        </w:rPr>
      </w:pPr>
      <w:r w:rsidRPr="00705BBC">
        <w:rPr>
          <w:rFonts w:ascii="Times New Roman" w:hAnsi="Times New Roman"/>
          <w:sz w:val="24"/>
          <w:szCs w:val="24"/>
        </w:rPr>
        <w:t>Αν οι καλλιέργειες αποδείξουν την ύπαρξη μικροβίων για τα οποία δεν υπάρχουν κατάλληλα από του στόματος αντιβιοτικά, η ενδοφλέβια θεραπεία μπορεί να συνεχισθεί κατ οίκον (Β-ΙΙΙ)</w:t>
      </w:r>
    </w:p>
    <w:p w:rsidR="009945B0" w:rsidRPr="00705BBC" w:rsidRDefault="009945B0" w:rsidP="009945B0">
      <w:pPr>
        <w:pStyle w:val="a4"/>
        <w:numPr>
          <w:ilvl w:val="0"/>
          <w:numId w:val="18"/>
        </w:numPr>
        <w:ind w:left="426" w:hanging="426"/>
        <w:jc w:val="both"/>
        <w:rPr>
          <w:rFonts w:ascii="Times New Roman" w:hAnsi="Times New Roman"/>
          <w:sz w:val="24"/>
          <w:szCs w:val="24"/>
        </w:rPr>
      </w:pPr>
      <w:r w:rsidRPr="00705BBC">
        <w:rPr>
          <w:rFonts w:ascii="Times New Roman" w:hAnsi="Times New Roman"/>
          <w:sz w:val="24"/>
          <w:szCs w:val="24"/>
        </w:rPr>
        <w:t>Στα παιδιά μπορεί να χορηγηθεί παρεντερική αντιμικροβιακή αγωγή κατ οίκον, αν δεν υπάρχει θέμα νέας παροχετευτικής επέμβασης αλλά τα συμπτώματα μιας συνεχιζόμενης φλεγμονής εξακολουθούν με μειωμένη ένταση (ελάττωση πυρετού, έλεγχος του πόνου, δυνατότητα λήψης από του στόματος υγρών, ικανοποιητική κινητοποίηση) (Β-ΙΙ)</w:t>
      </w:r>
    </w:p>
    <w:p w:rsidR="009945B0" w:rsidRPr="00705BBC" w:rsidRDefault="009945B0" w:rsidP="009945B0">
      <w:pPr>
        <w:pStyle w:val="a4"/>
        <w:numPr>
          <w:ilvl w:val="0"/>
          <w:numId w:val="18"/>
        </w:numPr>
        <w:ind w:left="426" w:hanging="426"/>
        <w:jc w:val="both"/>
        <w:rPr>
          <w:rFonts w:ascii="Times New Roman" w:hAnsi="Times New Roman"/>
          <w:sz w:val="24"/>
          <w:szCs w:val="24"/>
        </w:rPr>
      </w:pPr>
      <w:r w:rsidRPr="00705BBC">
        <w:rPr>
          <w:rFonts w:ascii="Times New Roman" w:hAnsi="Times New Roman"/>
          <w:sz w:val="24"/>
          <w:szCs w:val="24"/>
        </w:rPr>
        <w:t xml:space="preserve">Η αποκλιμάκωση σε από του στόματος θεραπεία στα παιδιά προϋποθέτει ότι το αποτέλεσμα των </w:t>
      </w:r>
      <w:proofErr w:type="spellStart"/>
      <w:r w:rsidRPr="00705BBC">
        <w:rPr>
          <w:rFonts w:ascii="Times New Roman" w:hAnsi="Times New Roman"/>
          <w:sz w:val="24"/>
          <w:szCs w:val="24"/>
        </w:rPr>
        <w:t>διεγχειρητικών</w:t>
      </w:r>
      <w:proofErr w:type="spellEnd"/>
      <w:r w:rsidRPr="00705BBC">
        <w:rPr>
          <w:rFonts w:ascii="Times New Roman" w:hAnsi="Times New Roman"/>
          <w:sz w:val="24"/>
          <w:szCs w:val="24"/>
        </w:rPr>
        <w:t xml:space="preserve"> καλλιεργειών δίνει αυτή τη δυνατότητα. Η επιλογή θα γίνει από παράγοντες που θα διαθέτουν το πλέον περιορισμένο αναγκαίο φάσμα, θα είναι καλά ανεκτοί και ασφαλείς. Μια </w:t>
      </w:r>
      <w:proofErr w:type="spellStart"/>
      <w:r w:rsidRPr="00705BBC">
        <w:rPr>
          <w:rFonts w:ascii="Times New Roman" w:hAnsi="Times New Roman"/>
          <w:sz w:val="24"/>
          <w:szCs w:val="24"/>
        </w:rPr>
        <w:t>κεφαλοσπορίνη</w:t>
      </w:r>
      <w:proofErr w:type="spellEnd"/>
      <w:r w:rsidRPr="00705BBC">
        <w:rPr>
          <w:rFonts w:ascii="Times New Roman" w:hAnsi="Times New Roman"/>
          <w:sz w:val="24"/>
          <w:szCs w:val="24"/>
        </w:rPr>
        <w:t xml:space="preserve"> 2</w:t>
      </w:r>
      <w:r w:rsidRPr="00705BBC">
        <w:rPr>
          <w:rFonts w:ascii="Times New Roman" w:hAnsi="Times New Roman"/>
          <w:sz w:val="24"/>
          <w:szCs w:val="24"/>
          <w:vertAlign w:val="superscript"/>
        </w:rPr>
        <w:t>ης</w:t>
      </w:r>
      <w:r w:rsidRPr="00705BBC">
        <w:rPr>
          <w:rFonts w:ascii="Times New Roman" w:hAnsi="Times New Roman"/>
          <w:sz w:val="24"/>
          <w:szCs w:val="24"/>
        </w:rPr>
        <w:t xml:space="preserve"> ή 3</w:t>
      </w:r>
      <w:r w:rsidRPr="00705BBC">
        <w:rPr>
          <w:rFonts w:ascii="Times New Roman" w:hAnsi="Times New Roman"/>
          <w:sz w:val="24"/>
          <w:szCs w:val="24"/>
          <w:vertAlign w:val="superscript"/>
        </w:rPr>
        <w:t>ης</w:t>
      </w:r>
      <w:r w:rsidRPr="00705BBC">
        <w:rPr>
          <w:rFonts w:ascii="Times New Roman" w:hAnsi="Times New Roman"/>
          <w:sz w:val="24"/>
          <w:szCs w:val="24"/>
        </w:rPr>
        <w:t xml:space="preserve"> γενιάς σε συνδυασμό με </w:t>
      </w:r>
      <w:proofErr w:type="spellStart"/>
      <w:r w:rsidRPr="00705BBC">
        <w:rPr>
          <w:rFonts w:ascii="Times New Roman" w:hAnsi="Times New Roman"/>
          <w:sz w:val="24"/>
          <w:szCs w:val="24"/>
        </w:rPr>
        <w:t>μετρονιδαζόλη</w:t>
      </w:r>
      <w:proofErr w:type="spellEnd"/>
      <w:r w:rsidRPr="00705BBC">
        <w:rPr>
          <w:rFonts w:ascii="Times New Roman" w:hAnsi="Times New Roman"/>
          <w:sz w:val="24"/>
          <w:szCs w:val="24"/>
        </w:rPr>
        <w:t xml:space="preserve"> ή η </w:t>
      </w:r>
      <w:proofErr w:type="spellStart"/>
      <w:r w:rsidRPr="00705BBC">
        <w:rPr>
          <w:rFonts w:ascii="Times New Roman" w:hAnsi="Times New Roman"/>
          <w:sz w:val="24"/>
          <w:szCs w:val="24"/>
        </w:rPr>
        <w:t>αμοξυκιλίνη</w:t>
      </w:r>
      <w:proofErr w:type="spellEnd"/>
      <w:r w:rsidRPr="00705BBC">
        <w:rPr>
          <w:rFonts w:ascii="Times New Roman" w:hAnsi="Times New Roman"/>
          <w:sz w:val="24"/>
          <w:szCs w:val="24"/>
        </w:rPr>
        <w:t>-</w:t>
      </w:r>
      <w:proofErr w:type="spellStart"/>
      <w:r w:rsidRPr="00705BBC">
        <w:rPr>
          <w:rFonts w:ascii="Times New Roman" w:hAnsi="Times New Roman"/>
          <w:sz w:val="24"/>
          <w:szCs w:val="24"/>
        </w:rPr>
        <w:t>κλαβουλανικό</w:t>
      </w:r>
      <w:proofErr w:type="spellEnd"/>
      <w:r w:rsidRPr="00705BBC">
        <w:rPr>
          <w:rFonts w:ascii="Times New Roman" w:hAnsi="Times New Roman"/>
          <w:sz w:val="24"/>
          <w:szCs w:val="24"/>
        </w:rPr>
        <w:t xml:space="preserve"> οξύ μπορεί να αποτελέσουν κατάλληλες επιλογές. Οι </w:t>
      </w:r>
      <w:proofErr w:type="spellStart"/>
      <w:r w:rsidRPr="00705BBC">
        <w:rPr>
          <w:rFonts w:ascii="Times New Roman" w:hAnsi="Times New Roman"/>
          <w:sz w:val="24"/>
          <w:szCs w:val="24"/>
        </w:rPr>
        <w:t>σιπροφλοξασίνη</w:t>
      </w:r>
      <w:proofErr w:type="spellEnd"/>
      <w:r w:rsidRPr="00705BBC">
        <w:rPr>
          <w:rFonts w:ascii="Times New Roman" w:hAnsi="Times New Roman"/>
          <w:sz w:val="24"/>
          <w:szCs w:val="24"/>
        </w:rPr>
        <w:t xml:space="preserve"> και η </w:t>
      </w:r>
      <w:proofErr w:type="spellStart"/>
      <w:r w:rsidRPr="00705BBC">
        <w:rPr>
          <w:rFonts w:ascii="Times New Roman" w:hAnsi="Times New Roman"/>
          <w:sz w:val="24"/>
          <w:szCs w:val="24"/>
        </w:rPr>
        <w:t>λεβοφλοξασίνη</w:t>
      </w:r>
      <w:proofErr w:type="spellEnd"/>
      <w:r w:rsidRPr="00705BBC">
        <w:rPr>
          <w:rFonts w:ascii="Times New Roman" w:hAnsi="Times New Roman"/>
          <w:sz w:val="24"/>
          <w:szCs w:val="24"/>
        </w:rPr>
        <w:t xml:space="preserve"> μπορούν να χορηγηθούν για τη θεραπεία ευαίσθητων στελεχών </w:t>
      </w:r>
      <w:r w:rsidRPr="00705BBC">
        <w:rPr>
          <w:rFonts w:ascii="Times New Roman" w:hAnsi="Times New Roman"/>
          <w:i/>
          <w:sz w:val="24"/>
          <w:szCs w:val="24"/>
          <w:lang w:val="en-US"/>
        </w:rPr>
        <w:t>Pseudomonas</w:t>
      </w:r>
      <w:r w:rsidRPr="00705BBC">
        <w:rPr>
          <w:rFonts w:ascii="Times New Roman" w:hAnsi="Times New Roman"/>
          <w:i/>
          <w:sz w:val="24"/>
          <w:szCs w:val="24"/>
        </w:rPr>
        <w:t xml:space="preserve">, </w:t>
      </w:r>
      <w:proofErr w:type="spellStart"/>
      <w:r w:rsidRPr="00705BBC">
        <w:rPr>
          <w:rFonts w:ascii="Times New Roman" w:hAnsi="Times New Roman"/>
          <w:i/>
          <w:sz w:val="24"/>
          <w:szCs w:val="24"/>
          <w:lang w:val="en-US"/>
        </w:rPr>
        <w:t>Enterobacter</w:t>
      </w:r>
      <w:proofErr w:type="spellEnd"/>
      <w:r w:rsidRPr="00705BBC">
        <w:rPr>
          <w:rFonts w:ascii="Times New Roman" w:hAnsi="Times New Roman"/>
          <w:i/>
          <w:sz w:val="24"/>
          <w:szCs w:val="24"/>
        </w:rPr>
        <w:t xml:space="preserve">, </w:t>
      </w:r>
      <w:proofErr w:type="spellStart"/>
      <w:r w:rsidRPr="00705BBC">
        <w:rPr>
          <w:rFonts w:ascii="Times New Roman" w:hAnsi="Times New Roman"/>
          <w:i/>
          <w:sz w:val="24"/>
          <w:szCs w:val="24"/>
          <w:lang w:val="en-US"/>
        </w:rPr>
        <w:t>Serratia</w:t>
      </w:r>
      <w:proofErr w:type="spellEnd"/>
      <w:r w:rsidRPr="00705BBC">
        <w:rPr>
          <w:rFonts w:ascii="Times New Roman" w:hAnsi="Times New Roman"/>
          <w:sz w:val="24"/>
          <w:szCs w:val="24"/>
        </w:rPr>
        <w:t xml:space="preserve"> και </w:t>
      </w:r>
      <w:proofErr w:type="spellStart"/>
      <w:r w:rsidRPr="00705BBC">
        <w:rPr>
          <w:rFonts w:ascii="Times New Roman" w:hAnsi="Times New Roman"/>
          <w:i/>
          <w:sz w:val="24"/>
          <w:szCs w:val="24"/>
          <w:lang w:val="en-US"/>
        </w:rPr>
        <w:t>Citrobacter</w:t>
      </w:r>
      <w:proofErr w:type="spellEnd"/>
      <w:r w:rsidRPr="00705BBC">
        <w:rPr>
          <w:rFonts w:ascii="Times New Roman" w:hAnsi="Times New Roman"/>
          <w:sz w:val="24"/>
          <w:szCs w:val="24"/>
        </w:rPr>
        <w:t>, (</w:t>
      </w:r>
      <w:r w:rsidRPr="00705BBC">
        <w:rPr>
          <w:rFonts w:ascii="Times New Roman" w:hAnsi="Times New Roman"/>
          <w:sz w:val="24"/>
          <w:szCs w:val="24"/>
          <w:lang w:val="en-US"/>
        </w:rPr>
        <w:t>B</w:t>
      </w:r>
      <w:r w:rsidRPr="00705BBC">
        <w:rPr>
          <w:rFonts w:ascii="Times New Roman" w:hAnsi="Times New Roman"/>
          <w:sz w:val="24"/>
          <w:szCs w:val="24"/>
        </w:rPr>
        <w:t xml:space="preserve">-ΙΙΙ). Αν χορηγηθούν </w:t>
      </w:r>
      <w:proofErr w:type="spellStart"/>
      <w:r w:rsidRPr="00705BBC">
        <w:rPr>
          <w:rFonts w:ascii="Times New Roman" w:hAnsi="Times New Roman"/>
          <w:sz w:val="24"/>
          <w:szCs w:val="24"/>
        </w:rPr>
        <w:t>σιπροφλοξασίνη</w:t>
      </w:r>
      <w:proofErr w:type="spellEnd"/>
      <w:r w:rsidRPr="00705BBC">
        <w:rPr>
          <w:rFonts w:ascii="Times New Roman" w:hAnsi="Times New Roman"/>
          <w:sz w:val="24"/>
          <w:szCs w:val="24"/>
        </w:rPr>
        <w:t xml:space="preserve"> ή </w:t>
      </w:r>
      <w:proofErr w:type="spellStart"/>
      <w:r w:rsidRPr="00705BBC">
        <w:rPr>
          <w:rFonts w:ascii="Times New Roman" w:hAnsi="Times New Roman"/>
          <w:sz w:val="24"/>
          <w:szCs w:val="24"/>
        </w:rPr>
        <w:t>λεβοφλοξασίνη</w:t>
      </w:r>
      <w:proofErr w:type="spellEnd"/>
      <w:r w:rsidRPr="00705BBC">
        <w:rPr>
          <w:rFonts w:ascii="Times New Roman" w:hAnsi="Times New Roman"/>
          <w:sz w:val="24"/>
          <w:szCs w:val="24"/>
        </w:rPr>
        <w:t xml:space="preserve">, θα πρέπει να συνδυασθούν με </w:t>
      </w:r>
      <w:proofErr w:type="spellStart"/>
      <w:r w:rsidRPr="00705BBC">
        <w:rPr>
          <w:rFonts w:ascii="Times New Roman" w:hAnsi="Times New Roman"/>
          <w:sz w:val="24"/>
          <w:szCs w:val="24"/>
        </w:rPr>
        <w:t>μετρονιδαζόλη</w:t>
      </w:r>
      <w:proofErr w:type="spellEnd"/>
    </w:p>
    <w:p w:rsidR="009945B0" w:rsidRPr="00705BBC" w:rsidRDefault="009945B0" w:rsidP="009945B0">
      <w:pPr>
        <w:pStyle w:val="a4"/>
        <w:numPr>
          <w:ilvl w:val="0"/>
          <w:numId w:val="18"/>
        </w:numPr>
        <w:ind w:left="426" w:hanging="426"/>
        <w:jc w:val="both"/>
        <w:rPr>
          <w:rFonts w:ascii="Times New Roman" w:hAnsi="Times New Roman"/>
          <w:sz w:val="24"/>
          <w:szCs w:val="24"/>
        </w:rPr>
      </w:pPr>
      <w:r w:rsidRPr="00705BBC">
        <w:rPr>
          <w:rFonts w:ascii="Times New Roman" w:hAnsi="Times New Roman"/>
          <w:sz w:val="24"/>
          <w:szCs w:val="24"/>
        </w:rPr>
        <w:t xml:space="preserve">Οι δοκιμασίες ευαισθησίας των </w:t>
      </w:r>
      <w:proofErr w:type="spellStart"/>
      <w:r w:rsidRPr="00705BBC">
        <w:rPr>
          <w:rFonts w:ascii="Times New Roman" w:hAnsi="Times New Roman"/>
          <w:sz w:val="24"/>
          <w:szCs w:val="24"/>
        </w:rPr>
        <w:t>αεροβίων</w:t>
      </w:r>
      <w:proofErr w:type="spellEnd"/>
      <w:r w:rsidRPr="00705BBC">
        <w:rPr>
          <w:rFonts w:ascii="Times New Roman" w:hAnsi="Times New Roman"/>
          <w:sz w:val="24"/>
          <w:szCs w:val="24"/>
        </w:rPr>
        <w:t xml:space="preserve"> και </w:t>
      </w:r>
      <w:proofErr w:type="spellStart"/>
      <w:r w:rsidRPr="00705BBC">
        <w:rPr>
          <w:rFonts w:ascii="Times New Roman" w:hAnsi="Times New Roman"/>
          <w:sz w:val="24"/>
          <w:szCs w:val="24"/>
        </w:rPr>
        <w:t>αναεροβίων</w:t>
      </w:r>
      <w:proofErr w:type="spellEnd"/>
      <w:r w:rsidRPr="00705BBC">
        <w:rPr>
          <w:rFonts w:ascii="Times New Roman" w:hAnsi="Times New Roman"/>
          <w:sz w:val="24"/>
          <w:szCs w:val="24"/>
        </w:rPr>
        <w:t xml:space="preserve"> </w:t>
      </w:r>
      <w:r w:rsidRPr="00705BBC">
        <w:rPr>
          <w:rFonts w:ascii="Times New Roman" w:hAnsi="Times New Roman"/>
          <w:sz w:val="24"/>
          <w:szCs w:val="24"/>
          <w:lang w:val="en-US"/>
        </w:rPr>
        <w:t>Gram</w:t>
      </w:r>
      <w:r w:rsidRPr="00705BBC">
        <w:rPr>
          <w:rFonts w:ascii="Times New Roman" w:hAnsi="Times New Roman"/>
          <w:sz w:val="24"/>
          <w:szCs w:val="24"/>
        </w:rPr>
        <w:t>-αρνητικών βακτηριδίων πρέπει να χρησιμοποιούνται για να κατευθύνουν την επιλογή των κατάλληλων αντιβιοτικών, τόσο στους ενήλικες, όσο και στα παιδιά (Β-ΙΙΙ)</w:t>
      </w:r>
    </w:p>
    <w:p w:rsidR="009945B0" w:rsidRPr="00705BBC" w:rsidRDefault="009945B0" w:rsidP="009945B0">
      <w:pPr>
        <w:pStyle w:val="a4"/>
        <w:numPr>
          <w:ilvl w:val="0"/>
          <w:numId w:val="18"/>
        </w:numPr>
        <w:ind w:left="426" w:hanging="426"/>
        <w:jc w:val="both"/>
        <w:rPr>
          <w:rFonts w:ascii="Times New Roman" w:hAnsi="Times New Roman"/>
          <w:sz w:val="24"/>
          <w:szCs w:val="24"/>
        </w:rPr>
      </w:pPr>
      <w:r w:rsidRPr="00705BBC">
        <w:rPr>
          <w:rFonts w:ascii="Times New Roman" w:hAnsi="Times New Roman"/>
          <w:sz w:val="24"/>
          <w:szCs w:val="24"/>
        </w:rPr>
        <w:t xml:space="preserve">Επειδή αρκετοί ασθενείς που δεν θα αντιμετωπισθούν με χειρουργική επέμβαση μπορούν να λάβουν αγωγή κατ οίκον, η από του στόματος θεραπεία αποτελεί συνιστώμενη πρακτική, είτε ως αρχική, είτε ως </w:t>
      </w:r>
      <w:proofErr w:type="spellStart"/>
      <w:r w:rsidRPr="00705BBC">
        <w:rPr>
          <w:rFonts w:ascii="Times New Roman" w:hAnsi="Times New Roman"/>
          <w:sz w:val="24"/>
          <w:szCs w:val="24"/>
        </w:rPr>
        <w:t>αποκλιμακούμενη</w:t>
      </w:r>
      <w:proofErr w:type="spellEnd"/>
      <w:r w:rsidRPr="00705BBC">
        <w:rPr>
          <w:rFonts w:ascii="Times New Roman" w:hAnsi="Times New Roman"/>
          <w:sz w:val="24"/>
          <w:szCs w:val="24"/>
        </w:rPr>
        <w:t xml:space="preserve"> αγωγή μετά από την αρχική ενδοφλέβια θεραπεία (Β-ΙΙΙ)</w:t>
      </w:r>
    </w:p>
    <w:p w:rsidR="009945B0" w:rsidRPr="00705BBC" w:rsidRDefault="009945B0" w:rsidP="009945B0">
      <w:pPr>
        <w:jc w:val="both"/>
      </w:pPr>
    </w:p>
    <w:p w:rsidR="009945B0" w:rsidRPr="00705BBC" w:rsidRDefault="009945B0" w:rsidP="009945B0">
      <w:pPr>
        <w:jc w:val="both"/>
        <w:rPr>
          <w:b/>
        </w:rPr>
      </w:pPr>
      <w:r w:rsidRPr="00705BBC">
        <w:rPr>
          <w:b/>
        </w:rPr>
        <w:lastRenderedPageBreak/>
        <w:t>Η ΑΝΤΙΜΕΤΩΠΙΣΗ ΤΗΣ ΘΕΡΑΠΕΥΤΙΚΗΣ ΑΠΟΤΥΧΙΑΣ</w:t>
      </w:r>
    </w:p>
    <w:p w:rsidR="009945B0" w:rsidRPr="00705BBC" w:rsidRDefault="009945B0" w:rsidP="009945B0">
      <w:pPr>
        <w:jc w:val="both"/>
      </w:pPr>
      <w:r w:rsidRPr="00705BBC">
        <w:t xml:space="preserve">   Μια θεραπευτική αποτυχία δεν αποτελεί σπάνιο γεγονός. Παρ ότι οι εκάστοτε διαγνωστικές και θεραπευτικές αποφάσεις στις περιπτώσεις αυτές είναι ανέφικτο να κωδικοποιηθούν σε ένα  περιορισμένης έκτασης κείμενο, οι οδηγίες επιχειρούν να παράσχουν ορισμένες βασικές κατευθύνσεις: </w:t>
      </w:r>
    </w:p>
    <w:p w:rsidR="009945B0" w:rsidRPr="00705BBC" w:rsidRDefault="009945B0" w:rsidP="009945B0">
      <w:pPr>
        <w:pStyle w:val="a4"/>
        <w:numPr>
          <w:ilvl w:val="0"/>
          <w:numId w:val="19"/>
        </w:numPr>
        <w:ind w:left="426" w:hanging="426"/>
        <w:jc w:val="both"/>
        <w:rPr>
          <w:rFonts w:ascii="Times New Roman" w:hAnsi="Times New Roman"/>
          <w:sz w:val="24"/>
          <w:szCs w:val="24"/>
        </w:rPr>
      </w:pPr>
      <w:r w:rsidRPr="00705BBC">
        <w:rPr>
          <w:rFonts w:ascii="Times New Roman" w:hAnsi="Times New Roman"/>
          <w:sz w:val="24"/>
          <w:szCs w:val="24"/>
        </w:rPr>
        <w:t xml:space="preserve">Οι ασθενείς που εμφανίζουν παραμένουσα λοίμωξη ή υποτροπιάζουν μετά από θεραπεία 4-7 ημερών θα πρέπει να υποβάλλονται σε νέα διαγνωστική διερεύνηση. Αυτή μπορεί να περιλαμβάνει τη διενέργεια αξονικής τομογραφίας ή </w:t>
      </w:r>
      <w:proofErr w:type="spellStart"/>
      <w:r w:rsidRPr="00705BBC">
        <w:rPr>
          <w:rFonts w:ascii="Times New Roman" w:hAnsi="Times New Roman"/>
          <w:sz w:val="24"/>
          <w:szCs w:val="24"/>
        </w:rPr>
        <w:t>υπερηχογραφικού</w:t>
      </w:r>
      <w:proofErr w:type="spellEnd"/>
      <w:r w:rsidRPr="00705BBC">
        <w:rPr>
          <w:rFonts w:ascii="Times New Roman" w:hAnsi="Times New Roman"/>
          <w:sz w:val="24"/>
          <w:szCs w:val="24"/>
        </w:rPr>
        <w:t xml:space="preserve"> ελέγχου. Η δραστική αντιμικροβιακή αγωγή έναντι των αρχικά αποκαλυφθέντων παθογόνων θα πρέπει να συνεχίζεται (Α-ΙΙΙ)</w:t>
      </w:r>
    </w:p>
    <w:p w:rsidR="009945B0" w:rsidRPr="00705BBC" w:rsidRDefault="009945B0" w:rsidP="009945B0">
      <w:pPr>
        <w:pStyle w:val="a4"/>
        <w:numPr>
          <w:ilvl w:val="0"/>
          <w:numId w:val="19"/>
        </w:numPr>
        <w:ind w:left="426" w:hanging="426"/>
        <w:jc w:val="both"/>
        <w:rPr>
          <w:rFonts w:ascii="Times New Roman" w:hAnsi="Times New Roman"/>
          <w:sz w:val="24"/>
          <w:szCs w:val="24"/>
        </w:rPr>
      </w:pPr>
      <w:r w:rsidRPr="00705BBC">
        <w:rPr>
          <w:rFonts w:ascii="Times New Roman" w:hAnsi="Times New Roman"/>
          <w:sz w:val="24"/>
          <w:szCs w:val="24"/>
        </w:rPr>
        <w:t xml:space="preserve"> Αν ο ασθενής δεν εμφανίζει ικανοποιητική κλινική ανταπόκριση παρά την χορήγηση επαρκούς </w:t>
      </w:r>
      <w:proofErr w:type="spellStart"/>
      <w:r w:rsidRPr="00705BBC">
        <w:rPr>
          <w:rFonts w:ascii="Times New Roman" w:hAnsi="Times New Roman"/>
          <w:sz w:val="24"/>
          <w:szCs w:val="24"/>
        </w:rPr>
        <w:t>αντιμικροβιακής</w:t>
      </w:r>
      <w:proofErr w:type="spellEnd"/>
      <w:r w:rsidRPr="00705BBC">
        <w:rPr>
          <w:rFonts w:ascii="Times New Roman" w:hAnsi="Times New Roman"/>
          <w:sz w:val="24"/>
          <w:szCs w:val="24"/>
        </w:rPr>
        <w:t xml:space="preserve"> αγωγής, θα πρέπει να διερευνώνται πιθανές </w:t>
      </w:r>
      <w:proofErr w:type="spellStart"/>
      <w:r w:rsidRPr="00705BBC">
        <w:rPr>
          <w:rFonts w:ascii="Times New Roman" w:hAnsi="Times New Roman"/>
          <w:sz w:val="24"/>
          <w:szCs w:val="24"/>
        </w:rPr>
        <w:t>εξωκοιλιακές</w:t>
      </w:r>
      <w:proofErr w:type="spellEnd"/>
      <w:r w:rsidRPr="00705BBC">
        <w:rPr>
          <w:rFonts w:ascii="Times New Roman" w:hAnsi="Times New Roman"/>
          <w:sz w:val="24"/>
          <w:szCs w:val="24"/>
        </w:rPr>
        <w:t xml:space="preserve"> εστίες λοίμωξης ή μη-λοιμώδους αιτιολογίας καταστάσεις (Α-ΙΙ)</w:t>
      </w:r>
    </w:p>
    <w:p w:rsidR="009945B0" w:rsidRPr="00705BBC" w:rsidRDefault="009945B0" w:rsidP="009945B0">
      <w:pPr>
        <w:pStyle w:val="a4"/>
        <w:numPr>
          <w:ilvl w:val="0"/>
          <w:numId w:val="19"/>
        </w:numPr>
        <w:ind w:left="426" w:hanging="426"/>
        <w:jc w:val="both"/>
        <w:rPr>
          <w:rFonts w:ascii="Times New Roman" w:hAnsi="Times New Roman"/>
          <w:sz w:val="24"/>
          <w:szCs w:val="24"/>
        </w:rPr>
      </w:pPr>
      <w:r w:rsidRPr="00705BBC">
        <w:rPr>
          <w:rFonts w:ascii="Times New Roman" w:hAnsi="Times New Roman"/>
          <w:sz w:val="24"/>
          <w:szCs w:val="24"/>
        </w:rPr>
        <w:t>Στους ασθενείς που δεν ανταποκρίνονται εξ αρχής και η εστία της λοίμωξης παραμένει, θα πρέπει να διενεργούνται νέες αερόβιες και αναερόβιες καλλιέργειες από ένα επαρκές και κατάλληλο δείγμα βιολογικού υλικού που θα προσκομισθεί στο μικροβιολογικό εργαστήριο με το ενδεδειγμένο σύστημα μεταφοράς (</w:t>
      </w:r>
      <w:r w:rsidRPr="00705BBC">
        <w:rPr>
          <w:rFonts w:ascii="Times New Roman" w:hAnsi="Times New Roman"/>
          <w:sz w:val="24"/>
          <w:szCs w:val="24"/>
          <w:lang w:val="en-US"/>
        </w:rPr>
        <w:t>C</w:t>
      </w:r>
      <w:r w:rsidRPr="00705BBC">
        <w:rPr>
          <w:rFonts w:ascii="Times New Roman" w:hAnsi="Times New Roman"/>
          <w:sz w:val="24"/>
          <w:szCs w:val="24"/>
        </w:rPr>
        <w:t>-</w:t>
      </w:r>
      <w:r w:rsidRPr="00705BBC">
        <w:rPr>
          <w:rFonts w:ascii="Times New Roman" w:hAnsi="Times New Roman"/>
          <w:sz w:val="24"/>
          <w:szCs w:val="24"/>
          <w:lang w:val="en-US"/>
        </w:rPr>
        <w:t>III</w:t>
      </w:r>
      <w:r w:rsidRPr="00705BBC">
        <w:rPr>
          <w:rFonts w:ascii="Times New Roman" w:hAnsi="Times New Roman"/>
          <w:sz w:val="24"/>
          <w:szCs w:val="24"/>
        </w:rPr>
        <w:t>)</w:t>
      </w:r>
    </w:p>
    <w:p w:rsidR="009945B0" w:rsidRPr="00705BBC" w:rsidRDefault="009945B0" w:rsidP="009945B0">
      <w:pPr>
        <w:jc w:val="both"/>
      </w:pPr>
    </w:p>
    <w:p w:rsidR="009945B0" w:rsidRPr="00705BBC" w:rsidRDefault="009945B0" w:rsidP="009945B0">
      <w:pPr>
        <w:jc w:val="both"/>
      </w:pPr>
    </w:p>
    <w:p w:rsidR="009945B0" w:rsidRPr="00705BBC" w:rsidRDefault="009945B0" w:rsidP="009945B0">
      <w:pPr>
        <w:jc w:val="both"/>
        <w:rPr>
          <w:b/>
        </w:rPr>
      </w:pPr>
      <w:r w:rsidRPr="00705BBC">
        <w:rPr>
          <w:b/>
        </w:rPr>
        <w:t>ΤΑ ΚΡΙΣΙΜΑ ΣΤΟΙΧΕΙΑ ΠΟΥ ΠΡΟΣΔΙΟΡΙΖΟΥΝ ΤΗΝ ΔΗΜΙΟΥΡΓΙΑ ΕΝΟΣ ΤΟΠΙΚΟΥ ΑΛΓΟΡΙΘΜΟΥ ΓΙΑ ΤΟΝ ΧΕΙΡΙΣΜΟ ΤΗΣ ΟΞΕΙΑΣ ΣΚΩΛΗΚΟΕΙΔΙΤΙΔΑΣ</w:t>
      </w:r>
    </w:p>
    <w:p w:rsidR="009945B0" w:rsidRPr="00705BBC" w:rsidRDefault="009945B0" w:rsidP="009945B0">
      <w:pPr>
        <w:pStyle w:val="a4"/>
        <w:numPr>
          <w:ilvl w:val="0"/>
          <w:numId w:val="20"/>
        </w:numPr>
        <w:ind w:left="426" w:hanging="426"/>
        <w:jc w:val="both"/>
        <w:rPr>
          <w:rFonts w:ascii="Times New Roman" w:hAnsi="Times New Roman"/>
          <w:sz w:val="24"/>
          <w:szCs w:val="24"/>
        </w:rPr>
      </w:pPr>
      <w:r w:rsidRPr="00705BBC">
        <w:rPr>
          <w:rFonts w:ascii="Times New Roman" w:hAnsi="Times New Roman"/>
          <w:sz w:val="24"/>
          <w:szCs w:val="24"/>
        </w:rPr>
        <w:t xml:space="preserve">Τα κατά τόπους νοσοκομεία πρέπει να καθιερώσουν κλινικούς αλγόριθμους διάγνωσης, νοσοκομειακής αντιμετώπισης, εξόδου από το νοσοκομείο και </w:t>
      </w:r>
      <w:proofErr w:type="spellStart"/>
      <w:r w:rsidRPr="00705BBC">
        <w:rPr>
          <w:rFonts w:ascii="Times New Roman" w:hAnsi="Times New Roman"/>
          <w:sz w:val="24"/>
          <w:szCs w:val="24"/>
        </w:rPr>
        <w:t>εξωνοσοκομειακού</w:t>
      </w:r>
      <w:proofErr w:type="spellEnd"/>
      <w:r w:rsidRPr="00705BBC">
        <w:rPr>
          <w:rFonts w:ascii="Times New Roman" w:hAnsi="Times New Roman"/>
          <w:sz w:val="24"/>
          <w:szCs w:val="24"/>
        </w:rPr>
        <w:t xml:space="preserve"> χειρισμού (Β-ΙΙ)</w:t>
      </w:r>
    </w:p>
    <w:p w:rsidR="009945B0" w:rsidRPr="00705BBC" w:rsidRDefault="009945B0" w:rsidP="009945B0">
      <w:pPr>
        <w:pStyle w:val="a4"/>
        <w:numPr>
          <w:ilvl w:val="0"/>
          <w:numId w:val="20"/>
        </w:numPr>
        <w:ind w:left="426" w:hanging="426"/>
        <w:jc w:val="both"/>
        <w:rPr>
          <w:rFonts w:ascii="Times New Roman" w:hAnsi="Times New Roman"/>
          <w:sz w:val="24"/>
          <w:szCs w:val="24"/>
        </w:rPr>
      </w:pPr>
      <w:r w:rsidRPr="00705BBC">
        <w:rPr>
          <w:rFonts w:ascii="Times New Roman" w:hAnsi="Times New Roman"/>
          <w:sz w:val="24"/>
          <w:szCs w:val="24"/>
        </w:rPr>
        <w:t xml:space="preserve"> Οι αλγόριθμοι θα πρέπει να σχεδιασθούν από συνεργαζόμενες ομάδες κλινικών γιατρών οι οποίοι εμπλέκονται στη φροντίδα αυτών των ασθενών, που ασφαλώς θα περιλαμβάνουν αλλά δεν θα περιορίζονται μόνο στους χειρουργούς. Στην ομάδα θα πρέπει να συμμετέχουν </w:t>
      </w:r>
      <w:proofErr w:type="spellStart"/>
      <w:r w:rsidRPr="00705BBC">
        <w:rPr>
          <w:rFonts w:ascii="Times New Roman" w:hAnsi="Times New Roman"/>
          <w:sz w:val="24"/>
          <w:szCs w:val="24"/>
        </w:rPr>
        <w:t>λοιμωξιολόγοι</w:t>
      </w:r>
      <w:proofErr w:type="spellEnd"/>
      <w:r w:rsidRPr="00705BBC">
        <w:rPr>
          <w:rFonts w:ascii="Times New Roman" w:hAnsi="Times New Roman"/>
          <w:sz w:val="24"/>
          <w:szCs w:val="24"/>
        </w:rPr>
        <w:t>, γενικοί γιατροί, γιατροί της επείγουσας ιατρικής, ακτινολόγοι, νοσηλευτές και φαρμακοποιοί που θα εκφράζουν τις τοπικές δυνατότητες αλλά και τα τοπικά πρότυπα της φροντίδας υγείας (Β-ΙΙ)</w:t>
      </w:r>
    </w:p>
    <w:p w:rsidR="009945B0" w:rsidRPr="00705BBC" w:rsidRDefault="009945B0" w:rsidP="009945B0">
      <w:pPr>
        <w:pStyle w:val="a4"/>
        <w:numPr>
          <w:ilvl w:val="0"/>
          <w:numId w:val="20"/>
        </w:numPr>
        <w:ind w:left="426" w:hanging="426"/>
        <w:jc w:val="both"/>
        <w:rPr>
          <w:rFonts w:ascii="Times New Roman" w:hAnsi="Times New Roman"/>
          <w:sz w:val="24"/>
          <w:szCs w:val="24"/>
        </w:rPr>
      </w:pPr>
      <w:r w:rsidRPr="00705BBC">
        <w:rPr>
          <w:rFonts w:ascii="Times New Roman" w:hAnsi="Times New Roman"/>
          <w:sz w:val="24"/>
          <w:szCs w:val="24"/>
        </w:rPr>
        <w:t>Αν και δεν υπάρχουν κλινικά σημεία που να αναγνωρίζουν καθοριστικά τους ασθενείς με σκωληκοειδίτιδα, υπάρχει ένα σύνολο ευρημάτων που περιλαμβάνει τον χαρακτηριστικό κοιλιακό πόνο, την τοπική ευαισθησία και τα εργαστηριακά ευρήματα οξείας φλεγμονής που στην πράξη μπορούν να αναγνωρίσουν τους περισσότερους ασθενείς με πιθανή σκωληκοειδίτιδα (Α-ΙΙ)</w:t>
      </w:r>
    </w:p>
    <w:p w:rsidR="009945B0" w:rsidRPr="00705BBC" w:rsidRDefault="009945B0" w:rsidP="009945B0">
      <w:pPr>
        <w:pStyle w:val="a4"/>
        <w:numPr>
          <w:ilvl w:val="0"/>
          <w:numId w:val="20"/>
        </w:numPr>
        <w:ind w:left="426" w:hanging="426"/>
        <w:jc w:val="both"/>
        <w:rPr>
          <w:rFonts w:ascii="Times New Roman" w:hAnsi="Times New Roman"/>
          <w:sz w:val="24"/>
          <w:szCs w:val="24"/>
        </w:rPr>
      </w:pPr>
      <w:r w:rsidRPr="00705BBC">
        <w:rPr>
          <w:rFonts w:ascii="Times New Roman" w:hAnsi="Times New Roman"/>
          <w:sz w:val="24"/>
          <w:szCs w:val="24"/>
        </w:rPr>
        <w:t xml:space="preserve">Η ελικοειδής αξονική τομογραφία κοιλίας και πυέλου με τη χορήγηση ενδοφλέβιου (αλλά όχι από του στόματος) </w:t>
      </w:r>
      <w:proofErr w:type="spellStart"/>
      <w:r w:rsidRPr="00705BBC">
        <w:rPr>
          <w:rFonts w:ascii="Times New Roman" w:hAnsi="Times New Roman"/>
          <w:sz w:val="24"/>
          <w:szCs w:val="24"/>
        </w:rPr>
        <w:t>σκιαστικού</w:t>
      </w:r>
      <w:proofErr w:type="spellEnd"/>
      <w:r w:rsidRPr="00705BBC">
        <w:rPr>
          <w:rFonts w:ascii="Times New Roman" w:hAnsi="Times New Roman"/>
          <w:sz w:val="24"/>
          <w:szCs w:val="24"/>
        </w:rPr>
        <w:t xml:space="preserve"> αποτελεί την απεικονιστική μέθοδο επιλογής για τους ασθενείς αυτούς (Β-ΙΙ)</w:t>
      </w:r>
    </w:p>
    <w:p w:rsidR="009945B0" w:rsidRPr="00705BBC" w:rsidRDefault="009945B0" w:rsidP="009945B0">
      <w:pPr>
        <w:pStyle w:val="a4"/>
        <w:numPr>
          <w:ilvl w:val="0"/>
          <w:numId w:val="20"/>
        </w:numPr>
        <w:ind w:left="426" w:hanging="426"/>
        <w:jc w:val="both"/>
        <w:rPr>
          <w:rFonts w:ascii="Times New Roman" w:hAnsi="Times New Roman"/>
          <w:sz w:val="24"/>
          <w:szCs w:val="24"/>
        </w:rPr>
      </w:pPr>
      <w:r w:rsidRPr="00705BBC">
        <w:rPr>
          <w:rFonts w:ascii="Times New Roman" w:hAnsi="Times New Roman"/>
          <w:sz w:val="24"/>
          <w:szCs w:val="24"/>
        </w:rPr>
        <w:t xml:space="preserve">Οι θήλυς ασθενείς  πρέπει να υποβάλλονται σε απεικονιστική διερεύνηση. Όσες διανύουν την παραγωγική ηλικία θα πρέπει να ελέγχονται με </w:t>
      </w:r>
      <w:r w:rsidRPr="00705BBC">
        <w:rPr>
          <w:rFonts w:ascii="Times New Roman" w:hAnsi="Times New Roman"/>
          <w:sz w:val="24"/>
          <w:szCs w:val="24"/>
          <w:lang w:val="en-US"/>
        </w:rPr>
        <w:t>test</w:t>
      </w:r>
      <w:r w:rsidRPr="00705BBC">
        <w:rPr>
          <w:rFonts w:ascii="Times New Roman" w:hAnsi="Times New Roman"/>
          <w:sz w:val="24"/>
          <w:szCs w:val="24"/>
        </w:rPr>
        <w:t xml:space="preserve"> κυήσεως πριν από τον ακτινολογικό </w:t>
      </w:r>
      <w:r w:rsidRPr="00705BBC">
        <w:rPr>
          <w:rFonts w:ascii="Times New Roman" w:hAnsi="Times New Roman"/>
          <w:sz w:val="24"/>
          <w:szCs w:val="24"/>
        </w:rPr>
        <w:lastRenderedPageBreak/>
        <w:t xml:space="preserve">έλεγχο και εφ όσον βρίσκονται στο πρώτο τρίμηνο της κύησης θα πρέπει να υποβάλλονται σε μαγνητικό ή </w:t>
      </w:r>
      <w:proofErr w:type="spellStart"/>
      <w:r w:rsidRPr="00705BBC">
        <w:rPr>
          <w:rFonts w:ascii="Times New Roman" w:hAnsi="Times New Roman"/>
          <w:sz w:val="24"/>
          <w:szCs w:val="24"/>
        </w:rPr>
        <w:t>υπερηχογραφικό</w:t>
      </w:r>
      <w:proofErr w:type="spellEnd"/>
      <w:r w:rsidRPr="00705BBC">
        <w:rPr>
          <w:rFonts w:ascii="Times New Roman" w:hAnsi="Times New Roman"/>
          <w:sz w:val="24"/>
          <w:szCs w:val="24"/>
        </w:rPr>
        <w:t xml:space="preserve"> έλεγχο αντί της έκθεσης σε </w:t>
      </w:r>
      <w:proofErr w:type="spellStart"/>
      <w:r w:rsidRPr="00705BBC">
        <w:rPr>
          <w:rFonts w:ascii="Times New Roman" w:hAnsi="Times New Roman"/>
          <w:sz w:val="24"/>
          <w:szCs w:val="24"/>
        </w:rPr>
        <w:t>ιοντίζουσα</w:t>
      </w:r>
      <w:proofErr w:type="spellEnd"/>
      <w:r w:rsidRPr="00705BBC">
        <w:rPr>
          <w:rFonts w:ascii="Times New Roman" w:hAnsi="Times New Roman"/>
          <w:sz w:val="24"/>
          <w:szCs w:val="24"/>
        </w:rPr>
        <w:t xml:space="preserve"> ακτινοβολία (Β-ΙΙ) Αν αυτές οι μελέτες αποτύχουν να αποκαλύψουν την υποκείμενη παθολογική κατάσταση, θα πρέπει να εξετασθεί το ενδεχόμενο της λαπαροτομίας ή της περιορισμένης έκτασης αξονικής τομογραφίας (Β-ΙΙΙ)</w:t>
      </w:r>
    </w:p>
    <w:p w:rsidR="009945B0" w:rsidRPr="00705BBC" w:rsidRDefault="009945B0" w:rsidP="009945B0">
      <w:pPr>
        <w:pStyle w:val="a4"/>
        <w:numPr>
          <w:ilvl w:val="0"/>
          <w:numId w:val="20"/>
        </w:numPr>
        <w:ind w:left="426" w:hanging="426"/>
        <w:jc w:val="both"/>
        <w:rPr>
          <w:rFonts w:ascii="Times New Roman" w:hAnsi="Times New Roman"/>
          <w:sz w:val="24"/>
          <w:szCs w:val="24"/>
        </w:rPr>
      </w:pPr>
      <w:r w:rsidRPr="00705BBC">
        <w:rPr>
          <w:rFonts w:ascii="Times New Roman" w:hAnsi="Times New Roman"/>
          <w:sz w:val="24"/>
          <w:szCs w:val="24"/>
        </w:rPr>
        <w:t xml:space="preserve">Απεικονιστική διερεύνηση πρέπει να διενεργείται και στα παιδιά, ιδιαίτερα σε όσα έχουν ηλικία &lt;3 ετών, εφ όσον η διάγνωση της σκωληκοειδίτιδας δεν είναι βεβαία. Ο αξονικός έλεγχος προτιμάται, αν και προκειμένου να αποφευχθεί η έκθεση στην </w:t>
      </w:r>
      <w:proofErr w:type="spellStart"/>
      <w:r w:rsidRPr="00705BBC">
        <w:rPr>
          <w:rFonts w:ascii="Times New Roman" w:hAnsi="Times New Roman"/>
          <w:sz w:val="24"/>
          <w:szCs w:val="24"/>
        </w:rPr>
        <w:t>ιοντίζουσα</w:t>
      </w:r>
      <w:proofErr w:type="spellEnd"/>
      <w:r w:rsidRPr="00705BBC">
        <w:rPr>
          <w:rFonts w:ascii="Times New Roman" w:hAnsi="Times New Roman"/>
          <w:sz w:val="24"/>
          <w:szCs w:val="24"/>
        </w:rPr>
        <w:t xml:space="preserve"> ακτινοβολία μπορεί εναλλακτικά να επιχειρηθεί </w:t>
      </w:r>
      <w:proofErr w:type="spellStart"/>
      <w:r w:rsidRPr="00705BBC">
        <w:rPr>
          <w:rFonts w:ascii="Times New Roman" w:hAnsi="Times New Roman"/>
          <w:sz w:val="24"/>
          <w:szCs w:val="24"/>
        </w:rPr>
        <w:t>υπερηχογραφικός</w:t>
      </w:r>
      <w:proofErr w:type="spellEnd"/>
      <w:r w:rsidRPr="00705BBC">
        <w:rPr>
          <w:rFonts w:ascii="Times New Roman" w:hAnsi="Times New Roman"/>
          <w:sz w:val="24"/>
          <w:szCs w:val="24"/>
        </w:rPr>
        <w:t xml:space="preserve"> έλεγχος (Β-ΙΙΙ)</w:t>
      </w:r>
    </w:p>
    <w:p w:rsidR="009945B0" w:rsidRPr="00705BBC" w:rsidRDefault="009945B0" w:rsidP="009945B0">
      <w:pPr>
        <w:pStyle w:val="a4"/>
        <w:numPr>
          <w:ilvl w:val="0"/>
          <w:numId w:val="20"/>
        </w:numPr>
        <w:ind w:left="426" w:hanging="426"/>
        <w:jc w:val="both"/>
        <w:rPr>
          <w:rFonts w:ascii="Times New Roman" w:hAnsi="Times New Roman"/>
          <w:sz w:val="24"/>
          <w:szCs w:val="24"/>
        </w:rPr>
      </w:pPr>
      <w:r w:rsidRPr="00705BBC">
        <w:rPr>
          <w:rFonts w:ascii="Times New Roman" w:hAnsi="Times New Roman"/>
          <w:sz w:val="24"/>
          <w:szCs w:val="24"/>
        </w:rPr>
        <w:t>Οι ασθενείς στους οποίους ο απεικονιστικός έλεγχος θα αποβεί αρνητικός για την παρουσία σκωληκοειδίτιδας, θα πρέπει να τίθενται σε παρακολούθηση για 24 ώρες προκειμένου να διασφαλισθεί η εξάλειψη των σημείων και συμπτωμάτων, επειδή υπάρχει μικρός μεν, αλλά υπαρκτός κίνδυνος ψευδώς αρνητικών αποτελεσμάτων (Β-ΙΙΙ)</w:t>
      </w:r>
    </w:p>
    <w:p w:rsidR="009945B0" w:rsidRPr="00705BBC" w:rsidRDefault="009945B0" w:rsidP="009945B0">
      <w:pPr>
        <w:pStyle w:val="a4"/>
        <w:numPr>
          <w:ilvl w:val="0"/>
          <w:numId w:val="20"/>
        </w:numPr>
        <w:ind w:left="426" w:hanging="426"/>
        <w:jc w:val="both"/>
        <w:rPr>
          <w:rFonts w:ascii="Times New Roman" w:hAnsi="Times New Roman"/>
          <w:sz w:val="24"/>
          <w:szCs w:val="24"/>
        </w:rPr>
      </w:pPr>
      <w:r w:rsidRPr="00705BBC">
        <w:rPr>
          <w:rFonts w:ascii="Times New Roman" w:hAnsi="Times New Roman"/>
          <w:sz w:val="24"/>
          <w:szCs w:val="24"/>
        </w:rPr>
        <w:t>Όπου ο βαθμός υποψίας είναι μεγάλος θα πρέπει να ζητείται η νοσηλεία των ασθενών (Α-ΙΙΙ)</w:t>
      </w:r>
    </w:p>
    <w:p w:rsidR="009945B0" w:rsidRPr="00705BBC" w:rsidRDefault="009945B0" w:rsidP="009945B0">
      <w:pPr>
        <w:pStyle w:val="a4"/>
        <w:numPr>
          <w:ilvl w:val="0"/>
          <w:numId w:val="20"/>
        </w:numPr>
        <w:ind w:left="426" w:hanging="426"/>
        <w:jc w:val="both"/>
        <w:rPr>
          <w:rFonts w:ascii="Times New Roman" w:hAnsi="Times New Roman"/>
          <w:sz w:val="24"/>
          <w:szCs w:val="24"/>
        </w:rPr>
      </w:pPr>
      <w:r w:rsidRPr="00705BBC">
        <w:rPr>
          <w:rFonts w:ascii="Times New Roman" w:hAnsi="Times New Roman"/>
          <w:sz w:val="24"/>
          <w:szCs w:val="24"/>
        </w:rPr>
        <w:t xml:space="preserve">Αντιμικροβιακή θεραπεία θα πρέπει χορηγείται σε όλους τους ασθενείς που διαγιγνώσκεται σκωληκοειδίτιδα (Α-ΙΙ) </w:t>
      </w:r>
    </w:p>
    <w:p w:rsidR="009945B0" w:rsidRPr="00705BBC" w:rsidRDefault="009945B0" w:rsidP="009945B0">
      <w:pPr>
        <w:pStyle w:val="a4"/>
        <w:numPr>
          <w:ilvl w:val="0"/>
          <w:numId w:val="20"/>
        </w:numPr>
        <w:ind w:left="426" w:hanging="426"/>
        <w:jc w:val="both"/>
        <w:rPr>
          <w:rFonts w:ascii="Times New Roman" w:hAnsi="Times New Roman"/>
          <w:sz w:val="24"/>
          <w:szCs w:val="24"/>
        </w:rPr>
      </w:pPr>
      <w:r w:rsidRPr="00705BBC">
        <w:rPr>
          <w:rFonts w:ascii="Times New Roman" w:hAnsi="Times New Roman"/>
          <w:sz w:val="24"/>
          <w:szCs w:val="24"/>
        </w:rPr>
        <w:t xml:space="preserve">Η κατάλληλη αντιμικροβιακή θεραπεία περιλαμβάνει παράγοντες που είναι δραστικοί έναντι των </w:t>
      </w:r>
      <w:proofErr w:type="spellStart"/>
      <w:r w:rsidRPr="00705BBC">
        <w:rPr>
          <w:rFonts w:ascii="Times New Roman" w:hAnsi="Times New Roman"/>
          <w:sz w:val="24"/>
          <w:szCs w:val="24"/>
        </w:rPr>
        <w:t>αεροβίων</w:t>
      </w:r>
      <w:proofErr w:type="spellEnd"/>
      <w:r w:rsidRPr="00705BBC">
        <w:rPr>
          <w:rFonts w:ascii="Times New Roman" w:hAnsi="Times New Roman"/>
          <w:sz w:val="24"/>
          <w:szCs w:val="24"/>
        </w:rPr>
        <w:t xml:space="preserve"> και δυνητικά </w:t>
      </w:r>
      <w:proofErr w:type="spellStart"/>
      <w:r w:rsidRPr="00705BBC">
        <w:rPr>
          <w:rFonts w:ascii="Times New Roman" w:hAnsi="Times New Roman"/>
          <w:sz w:val="24"/>
          <w:szCs w:val="24"/>
        </w:rPr>
        <w:t>αναεροβίων</w:t>
      </w:r>
      <w:proofErr w:type="spellEnd"/>
      <w:r w:rsidRPr="00705BBC">
        <w:rPr>
          <w:rFonts w:ascii="Times New Roman" w:hAnsi="Times New Roman"/>
          <w:sz w:val="24"/>
          <w:szCs w:val="24"/>
        </w:rPr>
        <w:t xml:space="preserve"> </w:t>
      </w:r>
      <w:r w:rsidRPr="00705BBC">
        <w:rPr>
          <w:rFonts w:ascii="Times New Roman" w:hAnsi="Times New Roman"/>
          <w:sz w:val="24"/>
          <w:szCs w:val="24"/>
          <w:lang w:val="en-US"/>
        </w:rPr>
        <w:t>Gram</w:t>
      </w:r>
      <w:r w:rsidRPr="00705BBC">
        <w:rPr>
          <w:rFonts w:ascii="Times New Roman" w:hAnsi="Times New Roman"/>
          <w:sz w:val="24"/>
          <w:szCs w:val="24"/>
        </w:rPr>
        <w:t xml:space="preserve">-αρνητικών μικροβίων, όπως έχει ήδη αναφερθεί στη σύσταση για την αντιμετώπιση των </w:t>
      </w:r>
      <w:proofErr w:type="spellStart"/>
      <w:r w:rsidRPr="00705BBC">
        <w:rPr>
          <w:rFonts w:ascii="Times New Roman" w:hAnsi="Times New Roman"/>
          <w:sz w:val="24"/>
          <w:szCs w:val="24"/>
        </w:rPr>
        <w:t>εξωνοσοκομειακών</w:t>
      </w:r>
      <w:proofErr w:type="spellEnd"/>
      <w:r w:rsidRPr="00705BBC">
        <w:rPr>
          <w:rFonts w:ascii="Times New Roman" w:hAnsi="Times New Roman"/>
          <w:sz w:val="24"/>
          <w:szCs w:val="24"/>
        </w:rPr>
        <w:t xml:space="preserve"> </w:t>
      </w:r>
      <w:proofErr w:type="spellStart"/>
      <w:r w:rsidRPr="00705BBC">
        <w:rPr>
          <w:rFonts w:ascii="Times New Roman" w:hAnsi="Times New Roman"/>
          <w:sz w:val="24"/>
          <w:szCs w:val="24"/>
        </w:rPr>
        <w:t>ενδοκοιλιακών</w:t>
      </w:r>
      <w:proofErr w:type="spellEnd"/>
      <w:r w:rsidRPr="00705BBC">
        <w:rPr>
          <w:rFonts w:ascii="Times New Roman" w:hAnsi="Times New Roman"/>
          <w:sz w:val="24"/>
          <w:szCs w:val="24"/>
        </w:rPr>
        <w:t xml:space="preserve"> λοιμώξεων (Α-Ι)</w:t>
      </w:r>
    </w:p>
    <w:p w:rsidR="009945B0" w:rsidRPr="00705BBC" w:rsidRDefault="009945B0" w:rsidP="009945B0">
      <w:pPr>
        <w:pStyle w:val="a4"/>
        <w:numPr>
          <w:ilvl w:val="0"/>
          <w:numId w:val="20"/>
        </w:numPr>
        <w:ind w:left="426" w:hanging="426"/>
        <w:jc w:val="both"/>
        <w:rPr>
          <w:rFonts w:ascii="Times New Roman" w:hAnsi="Times New Roman"/>
          <w:sz w:val="24"/>
          <w:szCs w:val="24"/>
        </w:rPr>
      </w:pPr>
      <w:r w:rsidRPr="00705BBC">
        <w:rPr>
          <w:rFonts w:ascii="Times New Roman" w:hAnsi="Times New Roman"/>
          <w:sz w:val="24"/>
          <w:szCs w:val="24"/>
        </w:rPr>
        <w:t xml:space="preserve"> Οι ασθενείς στους οποίους ο απεικονιστικός έλεγχος απέδωσε αμφίβολα αποτελέσματα, η αντιμικροβιακή θεραπεία θα πρέπει να χορηγηθεί ταυτόχρονα με τον φαρμακευτικό έλεγχο του πόνου και τα αντιπυρετικά. Στους ενήλικες, η αντιμικροβιακή αγωγή θα πρέπει να χορηγηθεί κατ ελάχιστον επί 3 ημέρες, μέχρις ότου τα σημεία και συμπτώματα υποχωρήσουν ή τεθεί η τελική διάγνωση (Β-ΙΙΙ)</w:t>
      </w:r>
    </w:p>
    <w:p w:rsidR="009945B0" w:rsidRPr="00705BBC" w:rsidRDefault="009945B0" w:rsidP="009945B0">
      <w:pPr>
        <w:pStyle w:val="a4"/>
        <w:numPr>
          <w:ilvl w:val="0"/>
          <w:numId w:val="20"/>
        </w:numPr>
        <w:ind w:left="426" w:hanging="426"/>
        <w:jc w:val="both"/>
        <w:rPr>
          <w:rFonts w:ascii="Times New Roman" w:hAnsi="Times New Roman"/>
          <w:sz w:val="24"/>
          <w:szCs w:val="24"/>
        </w:rPr>
      </w:pPr>
      <w:r w:rsidRPr="00705BBC">
        <w:rPr>
          <w:rFonts w:ascii="Times New Roman" w:hAnsi="Times New Roman"/>
          <w:sz w:val="24"/>
          <w:szCs w:val="24"/>
        </w:rPr>
        <w:t>Η χειρουργική αντιμετώπιση της οξείας, μη-</w:t>
      </w:r>
      <w:proofErr w:type="spellStart"/>
      <w:r w:rsidRPr="00705BBC">
        <w:rPr>
          <w:rFonts w:ascii="Times New Roman" w:hAnsi="Times New Roman"/>
          <w:sz w:val="24"/>
          <w:szCs w:val="24"/>
        </w:rPr>
        <w:t>διατρηθείσας</w:t>
      </w:r>
      <w:proofErr w:type="spellEnd"/>
      <w:r w:rsidRPr="00705BBC">
        <w:rPr>
          <w:rFonts w:ascii="Times New Roman" w:hAnsi="Times New Roman"/>
          <w:sz w:val="24"/>
          <w:szCs w:val="24"/>
        </w:rPr>
        <w:t xml:space="preserve"> σκωληκοειδίτιδας θα πρέπει να επιχειρείται το συντομότερο δυνατόν. Η επέμβαση είναι αποδεκτό να καθυστερήσει για λίγο εφ όσον το επιβάλλουν οι τοπικές νοσοκομειακές συνθήκες (Β-ΙΙ)</w:t>
      </w:r>
    </w:p>
    <w:p w:rsidR="009945B0" w:rsidRPr="00705BBC" w:rsidRDefault="009945B0" w:rsidP="009945B0">
      <w:pPr>
        <w:pStyle w:val="a4"/>
        <w:numPr>
          <w:ilvl w:val="0"/>
          <w:numId w:val="20"/>
        </w:numPr>
        <w:ind w:left="426" w:hanging="426"/>
        <w:jc w:val="both"/>
        <w:rPr>
          <w:rFonts w:ascii="Times New Roman" w:hAnsi="Times New Roman"/>
          <w:sz w:val="24"/>
          <w:szCs w:val="24"/>
        </w:rPr>
      </w:pPr>
      <w:r w:rsidRPr="00705BBC">
        <w:rPr>
          <w:rFonts w:ascii="Times New Roman" w:hAnsi="Times New Roman"/>
          <w:sz w:val="24"/>
          <w:szCs w:val="24"/>
        </w:rPr>
        <w:t xml:space="preserve">Τόσο η ανοικτή, όσο και η </w:t>
      </w:r>
      <w:proofErr w:type="spellStart"/>
      <w:r w:rsidRPr="00705BBC">
        <w:rPr>
          <w:rFonts w:ascii="Times New Roman" w:hAnsi="Times New Roman"/>
          <w:sz w:val="24"/>
          <w:szCs w:val="24"/>
        </w:rPr>
        <w:t>λαπαροσκοπική</w:t>
      </w:r>
      <w:proofErr w:type="spellEnd"/>
      <w:r w:rsidRPr="00705BBC">
        <w:rPr>
          <w:rFonts w:ascii="Times New Roman" w:hAnsi="Times New Roman"/>
          <w:sz w:val="24"/>
          <w:szCs w:val="24"/>
        </w:rPr>
        <w:t xml:space="preserve"> </w:t>
      </w:r>
      <w:proofErr w:type="spellStart"/>
      <w:r w:rsidRPr="00705BBC">
        <w:rPr>
          <w:rFonts w:ascii="Times New Roman" w:hAnsi="Times New Roman"/>
          <w:sz w:val="24"/>
          <w:szCs w:val="24"/>
        </w:rPr>
        <w:t>σκωληκοειδεκτομή</w:t>
      </w:r>
      <w:proofErr w:type="spellEnd"/>
      <w:r w:rsidRPr="00705BBC">
        <w:rPr>
          <w:rFonts w:ascii="Times New Roman" w:hAnsi="Times New Roman"/>
          <w:sz w:val="24"/>
          <w:szCs w:val="24"/>
        </w:rPr>
        <w:t xml:space="preserve"> αποτελούν αποδεκτές χειρουργικές μεθόδους και η επιλογή κάθε μιας απόκειται στις δεξιότητες του χειρουργού στην πραγματοποίησή τους (Β-ΙΙ)</w:t>
      </w:r>
    </w:p>
    <w:p w:rsidR="009945B0" w:rsidRPr="00705BBC" w:rsidRDefault="009945B0" w:rsidP="009945B0">
      <w:pPr>
        <w:pStyle w:val="a4"/>
        <w:numPr>
          <w:ilvl w:val="0"/>
          <w:numId w:val="20"/>
        </w:numPr>
        <w:ind w:left="426" w:hanging="426"/>
        <w:jc w:val="both"/>
        <w:rPr>
          <w:rFonts w:ascii="Times New Roman" w:hAnsi="Times New Roman"/>
          <w:sz w:val="24"/>
          <w:szCs w:val="24"/>
        </w:rPr>
      </w:pPr>
      <w:r w:rsidRPr="00705BBC">
        <w:rPr>
          <w:rFonts w:ascii="Times New Roman" w:hAnsi="Times New Roman"/>
          <w:sz w:val="24"/>
          <w:szCs w:val="24"/>
        </w:rPr>
        <w:t>Η μη χειρουργική αντιμετώπιση μπορεί να θεωρηθεί ως μέρος μιας ειδικής θεραπευτικής προσέγγισης σε άρρενες ασθενείς, υπό την προϋπόθεση ότι ο πάσχων θα εισαχθεί στο νοσοκομείο για 48 ώρες και θα δείξει σταθερή βελτίωση των κλινικών του σημείων και συμπτωμάτων εντός 24 ωρών, ενώ θα λαμβάνει αντιμικροβιακή θεραπεία (Α-ΙΙ)</w:t>
      </w:r>
    </w:p>
    <w:p w:rsidR="009945B0" w:rsidRPr="00705BBC" w:rsidRDefault="009945B0" w:rsidP="009945B0">
      <w:pPr>
        <w:pStyle w:val="a4"/>
        <w:numPr>
          <w:ilvl w:val="0"/>
          <w:numId w:val="20"/>
        </w:numPr>
        <w:ind w:left="426" w:hanging="426"/>
        <w:jc w:val="both"/>
        <w:rPr>
          <w:rFonts w:ascii="Times New Roman" w:hAnsi="Times New Roman"/>
          <w:sz w:val="24"/>
          <w:szCs w:val="24"/>
        </w:rPr>
      </w:pPr>
      <w:r w:rsidRPr="00705BBC">
        <w:rPr>
          <w:rFonts w:ascii="Times New Roman" w:hAnsi="Times New Roman"/>
          <w:sz w:val="24"/>
          <w:szCs w:val="24"/>
        </w:rPr>
        <w:t xml:space="preserve">Οι ασθενείς με </w:t>
      </w:r>
      <w:proofErr w:type="spellStart"/>
      <w:r w:rsidRPr="00705BBC">
        <w:rPr>
          <w:rFonts w:ascii="Times New Roman" w:hAnsi="Times New Roman"/>
          <w:sz w:val="24"/>
          <w:szCs w:val="24"/>
        </w:rPr>
        <w:t>διατρηθείσα</w:t>
      </w:r>
      <w:proofErr w:type="spellEnd"/>
      <w:r w:rsidRPr="00705BBC">
        <w:rPr>
          <w:rFonts w:ascii="Times New Roman" w:hAnsi="Times New Roman"/>
          <w:sz w:val="24"/>
          <w:szCs w:val="24"/>
        </w:rPr>
        <w:t xml:space="preserve"> σκωληκοειδίτιδα θα πρέπει να υποβάλλονται επειγόντως σε χειρουργική επέμβαση προκειμένου να ελεγχθεί αποτελεσματικά η εστία της λοίμωξης (Β-ΙΙΙ)</w:t>
      </w:r>
    </w:p>
    <w:p w:rsidR="009945B0" w:rsidRPr="00705BBC" w:rsidRDefault="009945B0" w:rsidP="009945B0">
      <w:pPr>
        <w:pStyle w:val="a4"/>
        <w:numPr>
          <w:ilvl w:val="0"/>
          <w:numId w:val="20"/>
        </w:numPr>
        <w:ind w:left="426" w:hanging="426"/>
        <w:jc w:val="both"/>
        <w:rPr>
          <w:rFonts w:ascii="Times New Roman" w:hAnsi="Times New Roman"/>
          <w:sz w:val="24"/>
          <w:szCs w:val="24"/>
        </w:rPr>
      </w:pPr>
      <w:r w:rsidRPr="00705BBC">
        <w:rPr>
          <w:rFonts w:ascii="Times New Roman" w:hAnsi="Times New Roman"/>
          <w:sz w:val="24"/>
          <w:szCs w:val="24"/>
        </w:rPr>
        <w:lastRenderedPageBreak/>
        <w:t xml:space="preserve">Οι ασθενείς με σαφώς περιχαρακωμένο </w:t>
      </w:r>
      <w:proofErr w:type="spellStart"/>
      <w:r w:rsidRPr="00705BBC">
        <w:rPr>
          <w:rFonts w:ascii="Times New Roman" w:hAnsi="Times New Roman"/>
          <w:sz w:val="24"/>
          <w:szCs w:val="24"/>
        </w:rPr>
        <w:t>περισκωληκοειδικό</w:t>
      </w:r>
      <w:proofErr w:type="spellEnd"/>
      <w:r w:rsidRPr="00705BBC">
        <w:rPr>
          <w:rFonts w:ascii="Times New Roman" w:hAnsi="Times New Roman"/>
          <w:sz w:val="24"/>
          <w:szCs w:val="24"/>
        </w:rPr>
        <w:t xml:space="preserve"> απόστημα μπορεί να αντιμετωπισθούν με </w:t>
      </w:r>
      <w:proofErr w:type="spellStart"/>
      <w:r w:rsidRPr="00705BBC">
        <w:rPr>
          <w:rFonts w:ascii="Times New Roman" w:hAnsi="Times New Roman"/>
          <w:sz w:val="24"/>
          <w:szCs w:val="24"/>
        </w:rPr>
        <w:t>διαδερμική</w:t>
      </w:r>
      <w:proofErr w:type="spellEnd"/>
      <w:r w:rsidRPr="00705BBC">
        <w:rPr>
          <w:rFonts w:ascii="Times New Roman" w:hAnsi="Times New Roman"/>
          <w:sz w:val="24"/>
          <w:szCs w:val="24"/>
        </w:rPr>
        <w:t xml:space="preserve"> ή ανοικτή  παροχέτευση όταν είναι αναγκαίο. Γενικά, η </w:t>
      </w:r>
      <w:proofErr w:type="spellStart"/>
      <w:r w:rsidRPr="00705BBC">
        <w:rPr>
          <w:rFonts w:ascii="Times New Roman" w:hAnsi="Times New Roman"/>
          <w:sz w:val="24"/>
          <w:szCs w:val="24"/>
        </w:rPr>
        <w:t>σκωληκοειδεκτομή</w:t>
      </w:r>
      <w:proofErr w:type="spellEnd"/>
      <w:r w:rsidRPr="00705BBC">
        <w:rPr>
          <w:rFonts w:ascii="Times New Roman" w:hAnsi="Times New Roman"/>
          <w:sz w:val="24"/>
          <w:szCs w:val="24"/>
        </w:rPr>
        <w:t xml:space="preserve"> αναβάλλεται σ αυτούς τους ασθενείς (Α-ΙΙ)</w:t>
      </w:r>
    </w:p>
    <w:p w:rsidR="009945B0" w:rsidRPr="00705BBC" w:rsidRDefault="009945B0" w:rsidP="009945B0">
      <w:pPr>
        <w:pStyle w:val="a4"/>
        <w:numPr>
          <w:ilvl w:val="0"/>
          <w:numId w:val="20"/>
        </w:numPr>
        <w:ind w:left="426" w:hanging="426"/>
        <w:jc w:val="both"/>
        <w:rPr>
          <w:rFonts w:ascii="Times New Roman" w:hAnsi="Times New Roman"/>
          <w:sz w:val="24"/>
          <w:szCs w:val="24"/>
        </w:rPr>
      </w:pPr>
      <w:r w:rsidRPr="00705BBC">
        <w:rPr>
          <w:rFonts w:ascii="Times New Roman" w:hAnsi="Times New Roman"/>
          <w:sz w:val="24"/>
          <w:szCs w:val="24"/>
        </w:rPr>
        <w:t xml:space="preserve">Σε επιλεγμένους ασθενείς που παρουσιάζονται αρκετές από ημέρες μετά την ανάπτυξη της φλεγμονής και έχουν αναπτύξει </w:t>
      </w:r>
      <w:proofErr w:type="spellStart"/>
      <w:r w:rsidRPr="00705BBC">
        <w:rPr>
          <w:rFonts w:ascii="Times New Roman" w:hAnsi="Times New Roman"/>
          <w:sz w:val="24"/>
          <w:szCs w:val="24"/>
        </w:rPr>
        <w:t>περισκωληκοειδικό</w:t>
      </w:r>
      <w:proofErr w:type="spellEnd"/>
      <w:r w:rsidRPr="00705BBC">
        <w:rPr>
          <w:rFonts w:ascii="Times New Roman" w:hAnsi="Times New Roman"/>
          <w:sz w:val="24"/>
          <w:szCs w:val="24"/>
        </w:rPr>
        <w:t xml:space="preserve"> </w:t>
      </w:r>
      <w:proofErr w:type="spellStart"/>
      <w:r w:rsidRPr="00705BBC">
        <w:rPr>
          <w:rFonts w:ascii="Times New Roman" w:hAnsi="Times New Roman"/>
          <w:sz w:val="24"/>
          <w:szCs w:val="24"/>
        </w:rPr>
        <w:t>φλέγμωνα</w:t>
      </w:r>
      <w:proofErr w:type="spellEnd"/>
      <w:r w:rsidRPr="00705BBC">
        <w:rPr>
          <w:rFonts w:ascii="Times New Roman" w:hAnsi="Times New Roman"/>
          <w:sz w:val="24"/>
          <w:szCs w:val="24"/>
        </w:rPr>
        <w:t xml:space="preserve"> ή μια περιορισμένη </w:t>
      </w:r>
      <w:proofErr w:type="spellStart"/>
      <w:r w:rsidRPr="00705BBC">
        <w:rPr>
          <w:rFonts w:ascii="Times New Roman" w:hAnsi="Times New Roman"/>
          <w:sz w:val="24"/>
          <w:szCs w:val="24"/>
        </w:rPr>
        <w:t>αποστηματική</w:t>
      </w:r>
      <w:proofErr w:type="spellEnd"/>
      <w:r w:rsidRPr="00705BBC">
        <w:rPr>
          <w:rFonts w:ascii="Times New Roman" w:hAnsi="Times New Roman"/>
          <w:sz w:val="24"/>
          <w:szCs w:val="24"/>
        </w:rPr>
        <w:t xml:space="preserve"> συλλογή που δεν επιδέχεται </w:t>
      </w:r>
      <w:proofErr w:type="spellStart"/>
      <w:r w:rsidRPr="00705BBC">
        <w:rPr>
          <w:rFonts w:ascii="Times New Roman" w:hAnsi="Times New Roman"/>
          <w:sz w:val="24"/>
          <w:szCs w:val="24"/>
        </w:rPr>
        <w:t>διαδερμική</w:t>
      </w:r>
      <w:proofErr w:type="spellEnd"/>
      <w:r w:rsidRPr="00705BBC">
        <w:rPr>
          <w:rFonts w:ascii="Times New Roman" w:hAnsi="Times New Roman"/>
          <w:sz w:val="24"/>
          <w:szCs w:val="24"/>
        </w:rPr>
        <w:t xml:space="preserve"> παροχέτευση, η χειρουργική επέμβαση για τον έλεγχο της εστίας μπορεί να καθυστερήσει ή και να ακυρωθεί προκειμένου να αποτραπεί μια επικινδυνότερη επέμβαση από την απλή </w:t>
      </w:r>
      <w:proofErr w:type="spellStart"/>
      <w:r w:rsidRPr="00705BBC">
        <w:rPr>
          <w:rFonts w:ascii="Times New Roman" w:hAnsi="Times New Roman"/>
          <w:sz w:val="24"/>
          <w:szCs w:val="24"/>
        </w:rPr>
        <w:t>σκωληκοειδεκτομή</w:t>
      </w:r>
      <w:proofErr w:type="spellEnd"/>
      <w:r w:rsidRPr="00705BBC">
        <w:rPr>
          <w:rFonts w:ascii="Times New Roman" w:hAnsi="Times New Roman"/>
          <w:sz w:val="24"/>
          <w:szCs w:val="24"/>
        </w:rPr>
        <w:t xml:space="preserve">. Αυτοί οι ασθενείς θεραπεύονται με αντιβιοτικά και υποβάλλονται σε προσεκτική παρακολούθηση κατά τη διάρκεια νοσηλείας, κατά τρόπο ανάλογο των ασθενών με οξεία </w:t>
      </w:r>
      <w:proofErr w:type="spellStart"/>
      <w:r w:rsidRPr="00705BBC">
        <w:rPr>
          <w:rFonts w:ascii="Times New Roman" w:hAnsi="Times New Roman"/>
          <w:sz w:val="24"/>
          <w:szCs w:val="24"/>
        </w:rPr>
        <w:t>εκκολπωματίτιδα</w:t>
      </w:r>
      <w:proofErr w:type="spellEnd"/>
      <w:r w:rsidRPr="00705BBC">
        <w:rPr>
          <w:rFonts w:ascii="Times New Roman" w:hAnsi="Times New Roman"/>
          <w:sz w:val="24"/>
          <w:szCs w:val="24"/>
        </w:rPr>
        <w:t xml:space="preserve"> (Β-ΙΙ)</w:t>
      </w:r>
    </w:p>
    <w:p w:rsidR="009945B0" w:rsidRPr="00705BBC" w:rsidRDefault="009945B0" w:rsidP="009945B0">
      <w:pPr>
        <w:pStyle w:val="a4"/>
        <w:numPr>
          <w:ilvl w:val="0"/>
          <w:numId w:val="20"/>
        </w:numPr>
        <w:ind w:left="426" w:hanging="426"/>
        <w:jc w:val="both"/>
        <w:rPr>
          <w:rFonts w:ascii="Times New Roman" w:hAnsi="Times New Roman"/>
          <w:sz w:val="24"/>
          <w:szCs w:val="24"/>
        </w:rPr>
      </w:pPr>
      <w:r w:rsidRPr="00705BBC">
        <w:rPr>
          <w:rFonts w:ascii="Times New Roman" w:hAnsi="Times New Roman"/>
          <w:sz w:val="24"/>
          <w:szCs w:val="24"/>
        </w:rPr>
        <w:t xml:space="preserve">Η επιλογή της </w:t>
      </w:r>
      <w:proofErr w:type="spellStart"/>
      <w:r w:rsidRPr="00705BBC">
        <w:rPr>
          <w:rFonts w:ascii="Times New Roman" w:hAnsi="Times New Roman"/>
          <w:sz w:val="24"/>
          <w:szCs w:val="24"/>
        </w:rPr>
        <w:t>σκωληκοειδεκτομής</w:t>
      </w:r>
      <w:proofErr w:type="spellEnd"/>
      <w:r w:rsidRPr="00705BBC">
        <w:rPr>
          <w:rFonts w:ascii="Times New Roman" w:hAnsi="Times New Roman"/>
          <w:sz w:val="24"/>
          <w:szCs w:val="24"/>
        </w:rPr>
        <w:t xml:space="preserve"> σε δεύτερο χρόνο μετά από </w:t>
      </w:r>
      <w:proofErr w:type="spellStart"/>
      <w:r w:rsidRPr="00705BBC">
        <w:rPr>
          <w:rFonts w:ascii="Times New Roman" w:hAnsi="Times New Roman"/>
          <w:sz w:val="24"/>
          <w:szCs w:val="24"/>
        </w:rPr>
        <w:t>διαδερμική</w:t>
      </w:r>
      <w:proofErr w:type="spellEnd"/>
      <w:r w:rsidRPr="00705BBC">
        <w:rPr>
          <w:rFonts w:ascii="Times New Roman" w:hAnsi="Times New Roman"/>
          <w:sz w:val="24"/>
          <w:szCs w:val="24"/>
        </w:rPr>
        <w:t xml:space="preserve"> παροχέτευση ή συντηρητική  θεραπεία για την αντιμετώπιση </w:t>
      </w:r>
      <w:proofErr w:type="spellStart"/>
      <w:r w:rsidRPr="00705BBC">
        <w:rPr>
          <w:rFonts w:ascii="Times New Roman" w:hAnsi="Times New Roman"/>
          <w:sz w:val="24"/>
          <w:szCs w:val="24"/>
        </w:rPr>
        <w:t>διατρηθείσας</w:t>
      </w:r>
      <w:proofErr w:type="spellEnd"/>
      <w:r w:rsidRPr="00705BBC">
        <w:rPr>
          <w:rFonts w:ascii="Times New Roman" w:hAnsi="Times New Roman"/>
          <w:sz w:val="24"/>
          <w:szCs w:val="24"/>
        </w:rPr>
        <w:t xml:space="preserve"> σκωληκοειδούς είναι αμφιλεγόμενη και μπορεί να μην είναι αναγκαία (Α-ΙΙ) </w:t>
      </w:r>
    </w:p>
    <w:p w:rsidR="009945B0" w:rsidRPr="00A60D19" w:rsidRDefault="009945B0" w:rsidP="009945B0">
      <w:pPr>
        <w:jc w:val="both"/>
      </w:pPr>
      <w:r w:rsidRPr="00705BBC">
        <w:t xml:space="preserve">   </w:t>
      </w:r>
    </w:p>
    <w:p w:rsidR="009945B0" w:rsidRPr="00705BBC" w:rsidRDefault="009945B0" w:rsidP="009945B0">
      <w:pPr>
        <w:jc w:val="both"/>
      </w:pPr>
    </w:p>
    <w:p w:rsidR="009945B0" w:rsidRPr="00705BBC" w:rsidRDefault="009945B0" w:rsidP="009945B0">
      <w:pPr>
        <w:jc w:val="both"/>
        <w:rPr>
          <w:b/>
        </w:rPr>
      </w:pPr>
      <w:r w:rsidRPr="00705BBC">
        <w:rPr>
          <w:b/>
        </w:rPr>
        <w:t>ΒΙΒΛΙΟΓΡΑΦΙΑ</w:t>
      </w:r>
    </w:p>
    <w:p w:rsidR="009945B0" w:rsidRPr="00705BBC" w:rsidRDefault="009945B0" w:rsidP="009945B0">
      <w:pPr>
        <w:pStyle w:val="a4"/>
        <w:numPr>
          <w:ilvl w:val="0"/>
          <w:numId w:val="1"/>
        </w:numPr>
        <w:jc w:val="both"/>
        <w:rPr>
          <w:rFonts w:ascii="Times New Roman" w:hAnsi="Times New Roman"/>
          <w:sz w:val="24"/>
          <w:szCs w:val="24"/>
        </w:rPr>
      </w:pPr>
      <w:r w:rsidRPr="00705BBC">
        <w:rPr>
          <w:rFonts w:ascii="Times New Roman" w:hAnsi="Times New Roman"/>
          <w:bCs/>
          <w:sz w:val="24"/>
          <w:szCs w:val="24"/>
          <w:lang w:val="en-US"/>
        </w:rPr>
        <w:t xml:space="preserve">Field M, </w:t>
      </w:r>
      <w:proofErr w:type="spellStart"/>
      <w:r w:rsidRPr="00705BBC">
        <w:rPr>
          <w:rFonts w:ascii="Times New Roman" w:hAnsi="Times New Roman"/>
          <w:bCs/>
          <w:sz w:val="24"/>
          <w:szCs w:val="24"/>
          <w:lang w:val="en-US"/>
        </w:rPr>
        <w:t>Lohr</w:t>
      </w:r>
      <w:proofErr w:type="spellEnd"/>
      <w:r w:rsidRPr="00705BBC">
        <w:rPr>
          <w:rFonts w:ascii="Times New Roman" w:hAnsi="Times New Roman"/>
          <w:bCs/>
          <w:sz w:val="24"/>
          <w:szCs w:val="24"/>
          <w:lang w:val="en-US"/>
        </w:rPr>
        <w:t xml:space="preserve"> K. Institute of Medicine Committee to Advise the Public Health</w:t>
      </w:r>
      <w:r w:rsidRPr="00705BBC">
        <w:rPr>
          <w:rFonts w:ascii="Times New Roman" w:hAnsi="Times New Roman"/>
          <w:bCs/>
          <w:sz w:val="24"/>
          <w:szCs w:val="24"/>
          <w:lang w:val="en-US"/>
        </w:rPr>
        <w:br/>
        <w:t xml:space="preserve">Service on Clinical Practice Guidelines. </w:t>
      </w:r>
      <w:smartTag w:uri="urn:schemas-microsoft-com:office:smarttags" w:element="City">
        <w:r w:rsidRPr="00705BBC">
          <w:rPr>
            <w:rFonts w:ascii="Times New Roman" w:hAnsi="Times New Roman"/>
            <w:bCs/>
            <w:sz w:val="24"/>
            <w:szCs w:val="24"/>
            <w:lang w:val="en-US"/>
          </w:rPr>
          <w:t>Washington</w:t>
        </w:r>
      </w:smartTag>
      <w:r w:rsidRPr="00705BBC">
        <w:rPr>
          <w:rFonts w:ascii="Times New Roman" w:hAnsi="Times New Roman"/>
          <w:bCs/>
          <w:sz w:val="24"/>
          <w:szCs w:val="24"/>
          <w:lang w:val="en-US"/>
        </w:rPr>
        <w:t xml:space="preserve">, </w:t>
      </w:r>
      <w:smartTag w:uri="urn:schemas-microsoft-com:office:smarttags" w:element="State">
        <w:r w:rsidRPr="00705BBC">
          <w:rPr>
            <w:rFonts w:ascii="Times New Roman" w:hAnsi="Times New Roman"/>
            <w:bCs/>
            <w:sz w:val="24"/>
            <w:szCs w:val="24"/>
            <w:lang w:val="en-US"/>
          </w:rPr>
          <w:t>DC</w:t>
        </w:r>
      </w:smartTag>
      <w:r w:rsidRPr="00705BBC">
        <w:rPr>
          <w:rFonts w:ascii="Times New Roman" w:hAnsi="Times New Roman"/>
          <w:bCs/>
          <w:sz w:val="24"/>
          <w:szCs w:val="24"/>
          <w:lang w:val="en-US"/>
        </w:rPr>
        <w:t xml:space="preserve">: </w:t>
      </w:r>
      <w:smartTag w:uri="urn:schemas-microsoft-com:office:smarttags" w:element="place">
        <w:smartTag w:uri="urn:schemas-microsoft-com:office:smarttags" w:element="PlaceName">
          <w:r w:rsidRPr="00705BBC">
            <w:rPr>
              <w:rFonts w:ascii="Times New Roman" w:hAnsi="Times New Roman"/>
              <w:bCs/>
              <w:sz w:val="24"/>
              <w:szCs w:val="24"/>
              <w:lang w:val="en-US"/>
            </w:rPr>
            <w:t>National</w:t>
          </w:r>
        </w:smartTag>
        <w:r w:rsidRPr="00705BBC">
          <w:rPr>
            <w:rFonts w:ascii="Times New Roman" w:hAnsi="Times New Roman"/>
            <w:bCs/>
            <w:sz w:val="24"/>
            <w:szCs w:val="24"/>
            <w:lang w:val="en-US"/>
          </w:rPr>
          <w:t xml:space="preserve"> </w:t>
        </w:r>
        <w:smartTag w:uri="urn:schemas-microsoft-com:office:smarttags" w:element="PlaceType">
          <w:r w:rsidRPr="00705BBC">
            <w:rPr>
              <w:rFonts w:ascii="Times New Roman" w:hAnsi="Times New Roman"/>
              <w:bCs/>
              <w:sz w:val="24"/>
              <w:szCs w:val="24"/>
              <w:lang w:val="en-US"/>
            </w:rPr>
            <w:t>Academy</w:t>
          </w:r>
        </w:smartTag>
      </w:smartTag>
      <w:r w:rsidRPr="00705BBC">
        <w:rPr>
          <w:rFonts w:ascii="Times New Roman" w:hAnsi="Times New Roman"/>
          <w:bCs/>
          <w:sz w:val="24"/>
          <w:szCs w:val="24"/>
          <w:lang w:val="en-US"/>
        </w:rPr>
        <w:t xml:space="preserve"> Press,  1990:8</w:t>
      </w:r>
    </w:p>
    <w:p w:rsidR="009945B0" w:rsidRPr="00705BBC" w:rsidRDefault="009945B0" w:rsidP="009945B0">
      <w:pPr>
        <w:pStyle w:val="a4"/>
        <w:numPr>
          <w:ilvl w:val="0"/>
          <w:numId w:val="1"/>
        </w:numPr>
        <w:jc w:val="both"/>
        <w:rPr>
          <w:rFonts w:ascii="Times New Roman" w:hAnsi="Times New Roman"/>
          <w:sz w:val="24"/>
          <w:szCs w:val="24"/>
          <w:lang w:val="en-US"/>
        </w:rPr>
      </w:pPr>
      <w:proofErr w:type="spellStart"/>
      <w:r w:rsidRPr="00705BBC">
        <w:rPr>
          <w:rFonts w:ascii="Times New Roman" w:hAnsi="Times New Roman"/>
          <w:bCs/>
          <w:sz w:val="24"/>
          <w:szCs w:val="24"/>
          <w:lang w:val="en-US"/>
        </w:rPr>
        <w:t>Solomkin</w:t>
      </w:r>
      <w:proofErr w:type="spellEnd"/>
      <w:r w:rsidRPr="00A60D19">
        <w:rPr>
          <w:rFonts w:ascii="Times New Roman" w:hAnsi="Times New Roman"/>
          <w:bCs/>
          <w:sz w:val="24"/>
          <w:szCs w:val="24"/>
          <w:lang w:val="en-US"/>
        </w:rPr>
        <w:t xml:space="preserve"> </w:t>
      </w:r>
      <w:r w:rsidRPr="00705BBC">
        <w:rPr>
          <w:rFonts w:ascii="Times New Roman" w:hAnsi="Times New Roman"/>
          <w:bCs/>
          <w:sz w:val="24"/>
          <w:szCs w:val="24"/>
          <w:lang w:val="en-US"/>
        </w:rPr>
        <w:t>JS</w:t>
      </w:r>
      <w:r w:rsidRPr="00A60D19">
        <w:rPr>
          <w:rFonts w:ascii="Times New Roman" w:hAnsi="Times New Roman"/>
          <w:bCs/>
          <w:sz w:val="24"/>
          <w:szCs w:val="24"/>
          <w:lang w:val="en-US"/>
        </w:rPr>
        <w:t xml:space="preserve">, </w:t>
      </w:r>
      <w:proofErr w:type="spellStart"/>
      <w:r w:rsidRPr="00705BBC">
        <w:rPr>
          <w:rFonts w:ascii="Times New Roman" w:hAnsi="Times New Roman"/>
          <w:bCs/>
          <w:sz w:val="24"/>
          <w:szCs w:val="24"/>
          <w:lang w:val="en-US"/>
        </w:rPr>
        <w:t>Mazuski</w:t>
      </w:r>
      <w:proofErr w:type="spellEnd"/>
      <w:r w:rsidRPr="00A60D19">
        <w:rPr>
          <w:rFonts w:ascii="Times New Roman" w:hAnsi="Times New Roman"/>
          <w:bCs/>
          <w:sz w:val="24"/>
          <w:szCs w:val="24"/>
          <w:lang w:val="en-US"/>
        </w:rPr>
        <w:t xml:space="preserve"> </w:t>
      </w:r>
      <w:r w:rsidRPr="00705BBC">
        <w:rPr>
          <w:rFonts w:ascii="Times New Roman" w:hAnsi="Times New Roman"/>
          <w:bCs/>
          <w:sz w:val="24"/>
          <w:szCs w:val="24"/>
          <w:lang w:val="en-US"/>
        </w:rPr>
        <w:t>JE</w:t>
      </w:r>
      <w:r w:rsidRPr="00A60D19">
        <w:rPr>
          <w:rFonts w:ascii="Times New Roman" w:hAnsi="Times New Roman"/>
          <w:bCs/>
          <w:sz w:val="24"/>
          <w:szCs w:val="24"/>
          <w:lang w:val="en-US"/>
        </w:rPr>
        <w:t xml:space="preserve">, </w:t>
      </w:r>
      <w:r w:rsidRPr="00705BBC">
        <w:rPr>
          <w:rFonts w:ascii="Times New Roman" w:hAnsi="Times New Roman"/>
          <w:bCs/>
          <w:sz w:val="24"/>
          <w:szCs w:val="24"/>
          <w:lang w:val="en-US"/>
        </w:rPr>
        <w:t>Bradley</w:t>
      </w:r>
      <w:r w:rsidRPr="00A60D19">
        <w:rPr>
          <w:rFonts w:ascii="Times New Roman" w:hAnsi="Times New Roman"/>
          <w:bCs/>
          <w:sz w:val="24"/>
          <w:szCs w:val="24"/>
          <w:lang w:val="en-US"/>
        </w:rPr>
        <w:t xml:space="preserve"> </w:t>
      </w:r>
      <w:r w:rsidRPr="00705BBC">
        <w:rPr>
          <w:rFonts w:ascii="Times New Roman" w:hAnsi="Times New Roman"/>
          <w:bCs/>
          <w:sz w:val="24"/>
          <w:szCs w:val="24"/>
          <w:lang w:val="en-US"/>
        </w:rPr>
        <w:t>JS</w:t>
      </w:r>
      <w:r w:rsidRPr="00A60D19">
        <w:rPr>
          <w:rFonts w:ascii="Times New Roman" w:hAnsi="Times New Roman"/>
          <w:bCs/>
          <w:sz w:val="24"/>
          <w:szCs w:val="24"/>
          <w:lang w:val="en-US"/>
        </w:rPr>
        <w:t xml:space="preserve">, </w:t>
      </w:r>
      <w:proofErr w:type="spellStart"/>
      <w:r w:rsidRPr="00705BBC">
        <w:rPr>
          <w:rFonts w:ascii="Times New Roman" w:hAnsi="Times New Roman"/>
          <w:bCs/>
          <w:sz w:val="24"/>
          <w:szCs w:val="24"/>
          <w:lang w:val="en-US"/>
        </w:rPr>
        <w:t>Rodvold</w:t>
      </w:r>
      <w:proofErr w:type="spellEnd"/>
      <w:r w:rsidRPr="00A60D19">
        <w:rPr>
          <w:rFonts w:ascii="Times New Roman" w:hAnsi="Times New Roman"/>
          <w:bCs/>
          <w:sz w:val="24"/>
          <w:szCs w:val="24"/>
          <w:lang w:val="en-US"/>
        </w:rPr>
        <w:t xml:space="preserve"> </w:t>
      </w:r>
      <w:r w:rsidRPr="00705BBC">
        <w:rPr>
          <w:rFonts w:ascii="Times New Roman" w:hAnsi="Times New Roman"/>
          <w:bCs/>
          <w:sz w:val="24"/>
          <w:szCs w:val="24"/>
          <w:lang w:val="en-US"/>
        </w:rPr>
        <w:t>KA</w:t>
      </w:r>
      <w:r w:rsidRPr="00A60D19">
        <w:rPr>
          <w:rFonts w:ascii="Times New Roman" w:hAnsi="Times New Roman"/>
          <w:bCs/>
          <w:sz w:val="24"/>
          <w:szCs w:val="24"/>
          <w:lang w:val="en-US"/>
        </w:rPr>
        <w:t xml:space="preserve">, </w:t>
      </w:r>
      <w:r w:rsidRPr="00705BBC">
        <w:rPr>
          <w:rFonts w:ascii="Times New Roman" w:hAnsi="Times New Roman"/>
          <w:bCs/>
          <w:sz w:val="24"/>
          <w:szCs w:val="24"/>
          <w:lang w:val="en-US"/>
        </w:rPr>
        <w:t>Goldstein</w:t>
      </w:r>
      <w:r w:rsidRPr="00A60D19">
        <w:rPr>
          <w:rFonts w:ascii="Times New Roman" w:hAnsi="Times New Roman"/>
          <w:bCs/>
          <w:sz w:val="24"/>
          <w:szCs w:val="24"/>
          <w:lang w:val="en-US"/>
        </w:rPr>
        <w:t xml:space="preserve"> </w:t>
      </w:r>
      <w:r w:rsidRPr="00705BBC">
        <w:rPr>
          <w:rFonts w:ascii="Times New Roman" w:hAnsi="Times New Roman"/>
          <w:bCs/>
          <w:sz w:val="24"/>
          <w:szCs w:val="24"/>
          <w:lang w:val="en-US"/>
        </w:rPr>
        <w:t>EJC</w:t>
      </w:r>
      <w:r w:rsidRPr="00A60D19">
        <w:rPr>
          <w:rFonts w:ascii="Times New Roman" w:hAnsi="Times New Roman"/>
          <w:bCs/>
          <w:sz w:val="24"/>
          <w:szCs w:val="24"/>
          <w:lang w:val="en-US"/>
        </w:rPr>
        <w:t xml:space="preserve">, </w:t>
      </w:r>
      <w:r w:rsidRPr="00705BBC">
        <w:rPr>
          <w:rFonts w:ascii="Times New Roman" w:hAnsi="Times New Roman"/>
          <w:bCs/>
          <w:sz w:val="24"/>
          <w:szCs w:val="24"/>
          <w:lang w:val="en-US"/>
        </w:rPr>
        <w:t>Baron</w:t>
      </w:r>
      <w:r w:rsidRPr="00A60D19">
        <w:rPr>
          <w:rFonts w:ascii="Times New Roman" w:hAnsi="Times New Roman"/>
          <w:bCs/>
          <w:sz w:val="24"/>
          <w:szCs w:val="24"/>
          <w:lang w:val="en-US"/>
        </w:rPr>
        <w:t xml:space="preserve"> </w:t>
      </w:r>
      <w:r w:rsidRPr="00705BBC">
        <w:rPr>
          <w:rFonts w:ascii="Times New Roman" w:hAnsi="Times New Roman"/>
          <w:bCs/>
          <w:sz w:val="24"/>
          <w:szCs w:val="24"/>
          <w:lang w:val="en-US"/>
        </w:rPr>
        <w:t>EJ</w:t>
      </w:r>
      <w:r w:rsidRPr="00A60D19">
        <w:rPr>
          <w:rFonts w:ascii="Times New Roman" w:hAnsi="Times New Roman"/>
          <w:bCs/>
          <w:sz w:val="24"/>
          <w:szCs w:val="24"/>
          <w:lang w:val="en-US"/>
        </w:rPr>
        <w:t xml:space="preserve">, </w:t>
      </w:r>
      <w:r w:rsidRPr="00705BBC">
        <w:rPr>
          <w:rFonts w:ascii="Times New Roman" w:hAnsi="Times New Roman"/>
          <w:bCs/>
          <w:sz w:val="24"/>
          <w:szCs w:val="24"/>
          <w:lang w:val="en-US"/>
        </w:rPr>
        <w:t>et</w:t>
      </w:r>
      <w:r w:rsidRPr="00A60D19">
        <w:rPr>
          <w:rFonts w:ascii="Times New Roman" w:hAnsi="Times New Roman"/>
          <w:bCs/>
          <w:sz w:val="24"/>
          <w:szCs w:val="24"/>
          <w:lang w:val="en-US"/>
        </w:rPr>
        <w:t xml:space="preserve"> </w:t>
      </w:r>
      <w:r w:rsidRPr="00705BBC">
        <w:rPr>
          <w:rFonts w:ascii="Times New Roman" w:hAnsi="Times New Roman"/>
          <w:bCs/>
          <w:sz w:val="24"/>
          <w:szCs w:val="24"/>
          <w:lang w:val="en-US"/>
        </w:rPr>
        <w:t>al</w:t>
      </w:r>
      <w:r w:rsidRPr="00A60D19">
        <w:rPr>
          <w:rFonts w:ascii="Times New Roman" w:hAnsi="Times New Roman"/>
          <w:bCs/>
          <w:sz w:val="24"/>
          <w:szCs w:val="24"/>
          <w:lang w:val="en-US"/>
        </w:rPr>
        <w:t xml:space="preserve">. </w:t>
      </w:r>
      <w:r w:rsidRPr="00705BBC">
        <w:rPr>
          <w:rFonts w:ascii="Times New Roman" w:hAnsi="Times New Roman"/>
          <w:bCs/>
          <w:sz w:val="24"/>
          <w:szCs w:val="24"/>
          <w:lang w:val="en-US"/>
        </w:rPr>
        <w:t xml:space="preserve">Diagnosis and management of complicated intra-abdominal infection in adults and children: Guidelines by the Surgical Infection Society and the Infectious Diseases Society of America. </w:t>
      </w:r>
      <w:proofErr w:type="spellStart"/>
      <w:r w:rsidRPr="00705BBC">
        <w:rPr>
          <w:rFonts w:ascii="Times New Roman" w:hAnsi="Times New Roman"/>
          <w:bCs/>
          <w:sz w:val="24"/>
          <w:szCs w:val="24"/>
          <w:lang w:val="en-US"/>
        </w:rPr>
        <w:t>Clin</w:t>
      </w:r>
      <w:proofErr w:type="spellEnd"/>
      <w:r w:rsidRPr="00705BBC">
        <w:rPr>
          <w:rFonts w:ascii="Times New Roman" w:hAnsi="Times New Roman"/>
          <w:bCs/>
          <w:sz w:val="24"/>
          <w:szCs w:val="24"/>
          <w:lang w:val="en-US"/>
        </w:rPr>
        <w:t xml:space="preserve"> Infect </w:t>
      </w:r>
      <w:proofErr w:type="spellStart"/>
      <w:r w:rsidRPr="00705BBC">
        <w:rPr>
          <w:rFonts w:ascii="Times New Roman" w:hAnsi="Times New Roman"/>
          <w:bCs/>
          <w:sz w:val="24"/>
          <w:szCs w:val="24"/>
          <w:lang w:val="en-US"/>
        </w:rPr>
        <w:t>Dis</w:t>
      </w:r>
      <w:proofErr w:type="spellEnd"/>
      <w:r w:rsidRPr="00705BBC">
        <w:rPr>
          <w:rFonts w:ascii="Times New Roman" w:hAnsi="Times New Roman"/>
          <w:bCs/>
          <w:sz w:val="24"/>
          <w:szCs w:val="24"/>
          <w:lang w:val="en-US"/>
        </w:rPr>
        <w:t xml:space="preserve"> 2010; 50: 133-164</w:t>
      </w:r>
    </w:p>
    <w:p w:rsidR="009945B0" w:rsidRPr="00705BBC" w:rsidRDefault="009945B0" w:rsidP="009945B0">
      <w:pPr>
        <w:pStyle w:val="a4"/>
        <w:numPr>
          <w:ilvl w:val="0"/>
          <w:numId w:val="1"/>
        </w:numPr>
        <w:jc w:val="both"/>
        <w:rPr>
          <w:rFonts w:ascii="Times New Roman" w:hAnsi="Times New Roman"/>
          <w:sz w:val="24"/>
          <w:szCs w:val="24"/>
          <w:lang w:val="en-US"/>
        </w:rPr>
      </w:pPr>
      <w:r w:rsidRPr="00705BBC">
        <w:rPr>
          <w:rFonts w:ascii="Times New Roman" w:hAnsi="Times New Roman"/>
          <w:bCs/>
          <w:sz w:val="24"/>
          <w:szCs w:val="24"/>
          <w:lang w:val="en-US"/>
        </w:rPr>
        <w:t>The periodic health examination. Canadian Task Force on the Periodic health Examination. Can Med Assoc J. 1979; 121:1193-1254</w:t>
      </w:r>
      <w:bookmarkStart w:id="0" w:name="_GoBack"/>
      <w:bookmarkEnd w:id="0"/>
    </w:p>
    <w:p w:rsidR="009945B0" w:rsidRPr="009945B0" w:rsidRDefault="009945B0" w:rsidP="009945B0">
      <w:pPr>
        <w:pStyle w:val="a4"/>
        <w:numPr>
          <w:ilvl w:val="0"/>
          <w:numId w:val="1"/>
        </w:numPr>
        <w:jc w:val="both"/>
        <w:rPr>
          <w:rFonts w:ascii="Times New Roman" w:hAnsi="Times New Roman"/>
          <w:sz w:val="24"/>
          <w:szCs w:val="24"/>
          <w:lang w:val="en-US"/>
        </w:rPr>
      </w:pPr>
      <w:r w:rsidRPr="00705BBC">
        <w:rPr>
          <w:rFonts w:ascii="Times New Roman" w:hAnsi="Times New Roman"/>
          <w:bCs/>
          <w:sz w:val="24"/>
          <w:szCs w:val="24"/>
          <w:lang w:val="es-PE"/>
        </w:rPr>
        <w:t xml:space="preserve">Yosida M, Takada T, Kawarada Y, Tanaka A, Nimura Y, Gomi Y, et al. </w:t>
      </w:r>
      <w:r w:rsidRPr="009945B0">
        <w:rPr>
          <w:rFonts w:ascii="Times New Roman" w:hAnsi="Times New Roman"/>
          <w:bCs/>
          <w:sz w:val="24"/>
          <w:szCs w:val="24"/>
          <w:lang w:val="en-US"/>
        </w:rPr>
        <w:t xml:space="preserve">Antimicrobial therapy for acute cholecystitis: Tokyo Guidelines. J </w:t>
      </w:r>
      <w:proofErr w:type="spellStart"/>
      <w:r w:rsidRPr="009945B0">
        <w:rPr>
          <w:rFonts w:ascii="Times New Roman" w:hAnsi="Times New Roman"/>
          <w:bCs/>
          <w:sz w:val="24"/>
          <w:szCs w:val="24"/>
          <w:lang w:val="en-US"/>
        </w:rPr>
        <w:t>Hepatobiliary</w:t>
      </w:r>
      <w:proofErr w:type="spellEnd"/>
      <w:r w:rsidRPr="009945B0">
        <w:rPr>
          <w:rFonts w:ascii="Times New Roman" w:hAnsi="Times New Roman"/>
          <w:bCs/>
          <w:sz w:val="24"/>
          <w:szCs w:val="24"/>
          <w:lang w:val="en-US"/>
        </w:rPr>
        <w:t xml:space="preserve"> </w:t>
      </w:r>
      <w:proofErr w:type="spellStart"/>
      <w:r w:rsidRPr="009945B0">
        <w:rPr>
          <w:rFonts w:ascii="Times New Roman" w:hAnsi="Times New Roman"/>
          <w:bCs/>
          <w:sz w:val="24"/>
          <w:szCs w:val="24"/>
          <w:lang w:val="en-US"/>
        </w:rPr>
        <w:t>Pancreat</w:t>
      </w:r>
      <w:proofErr w:type="spellEnd"/>
      <w:r w:rsidRPr="009945B0">
        <w:rPr>
          <w:rFonts w:ascii="Times New Roman" w:hAnsi="Times New Roman"/>
          <w:bCs/>
          <w:sz w:val="24"/>
          <w:szCs w:val="24"/>
          <w:lang w:val="en-US"/>
        </w:rPr>
        <w:t xml:space="preserve"> </w:t>
      </w:r>
      <w:proofErr w:type="spellStart"/>
      <w:r w:rsidRPr="009945B0">
        <w:rPr>
          <w:rFonts w:ascii="Times New Roman" w:hAnsi="Times New Roman"/>
          <w:bCs/>
          <w:sz w:val="24"/>
          <w:szCs w:val="24"/>
          <w:lang w:val="en-US"/>
        </w:rPr>
        <w:t>Surg</w:t>
      </w:r>
      <w:proofErr w:type="spellEnd"/>
      <w:r w:rsidRPr="009945B0">
        <w:rPr>
          <w:rFonts w:ascii="Times New Roman" w:hAnsi="Times New Roman"/>
          <w:bCs/>
          <w:sz w:val="24"/>
          <w:szCs w:val="24"/>
          <w:lang w:val="en-US"/>
        </w:rPr>
        <w:t xml:space="preserve"> 2007; 14(1): 83-90 </w:t>
      </w:r>
    </w:p>
    <w:p w:rsidR="009945B0" w:rsidRPr="009945B0" w:rsidRDefault="009945B0" w:rsidP="009945B0">
      <w:pPr>
        <w:rPr>
          <w:lang w:val="en-US"/>
        </w:rPr>
      </w:pPr>
    </w:p>
    <w:p w:rsidR="009945B0" w:rsidRPr="009945B0" w:rsidRDefault="009945B0" w:rsidP="009945B0">
      <w:pPr>
        <w:rPr>
          <w:lang w:val="en-US"/>
        </w:rPr>
      </w:pPr>
    </w:p>
    <w:p w:rsidR="00F63116" w:rsidRPr="009945B0" w:rsidRDefault="00F63116">
      <w:pPr>
        <w:rPr>
          <w:lang w:val="en-US"/>
        </w:rPr>
      </w:pPr>
    </w:p>
    <w:sectPr w:rsidR="00F63116" w:rsidRPr="009945B0" w:rsidSect="00F85320">
      <w:pgSz w:w="12240" w:h="15840"/>
      <w:pgMar w:top="1440" w:right="1041"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77702"/>
    <w:multiLevelType w:val="hybridMultilevel"/>
    <w:tmpl w:val="AC106326"/>
    <w:lvl w:ilvl="0" w:tplc="0408000F">
      <w:start w:val="1"/>
      <w:numFmt w:val="decimal"/>
      <w:lvlText w:val="%1."/>
      <w:lvlJc w:val="left"/>
      <w:pPr>
        <w:ind w:left="1920" w:hanging="360"/>
      </w:pPr>
    </w:lvl>
    <w:lvl w:ilvl="1" w:tplc="04080019" w:tentative="1">
      <w:start w:val="1"/>
      <w:numFmt w:val="lowerLetter"/>
      <w:lvlText w:val="%2."/>
      <w:lvlJc w:val="left"/>
      <w:pPr>
        <w:ind w:left="2640" w:hanging="360"/>
      </w:pPr>
    </w:lvl>
    <w:lvl w:ilvl="2" w:tplc="0408001B" w:tentative="1">
      <w:start w:val="1"/>
      <w:numFmt w:val="lowerRoman"/>
      <w:lvlText w:val="%3."/>
      <w:lvlJc w:val="right"/>
      <w:pPr>
        <w:ind w:left="3360" w:hanging="180"/>
      </w:pPr>
    </w:lvl>
    <w:lvl w:ilvl="3" w:tplc="0408000F" w:tentative="1">
      <w:start w:val="1"/>
      <w:numFmt w:val="decimal"/>
      <w:lvlText w:val="%4."/>
      <w:lvlJc w:val="left"/>
      <w:pPr>
        <w:ind w:left="4080" w:hanging="360"/>
      </w:pPr>
    </w:lvl>
    <w:lvl w:ilvl="4" w:tplc="04080019" w:tentative="1">
      <w:start w:val="1"/>
      <w:numFmt w:val="lowerLetter"/>
      <w:lvlText w:val="%5."/>
      <w:lvlJc w:val="left"/>
      <w:pPr>
        <w:ind w:left="4800" w:hanging="360"/>
      </w:pPr>
    </w:lvl>
    <w:lvl w:ilvl="5" w:tplc="0408001B" w:tentative="1">
      <w:start w:val="1"/>
      <w:numFmt w:val="lowerRoman"/>
      <w:lvlText w:val="%6."/>
      <w:lvlJc w:val="right"/>
      <w:pPr>
        <w:ind w:left="5520" w:hanging="180"/>
      </w:pPr>
    </w:lvl>
    <w:lvl w:ilvl="6" w:tplc="0408000F" w:tentative="1">
      <w:start w:val="1"/>
      <w:numFmt w:val="decimal"/>
      <w:lvlText w:val="%7."/>
      <w:lvlJc w:val="left"/>
      <w:pPr>
        <w:ind w:left="6240" w:hanging="360"/>
      </w:pPr>
    </w:lvl>
    <w:lvl w:ilvl="7" w:tplc="04080019" w:tentative="1">
      <w:start w:val="1"/>
      <w:numFmt w:val="lowerLetter"/>
      <w:lvlText w:val="%8."/>
      <w:lvlJc w:val="left"/>
      <w:pPr>
        <w:ind w:left="6960" w:hanging="360"/>
      </w:pPr>
    </w:lvl>
    <w:lvl w:ilvl="8" w:tplc="0408001B" w:tentative="1">
      <w:start w:val="1"/>
      <w:numFmt w:val="lowerRoman"/>
      <w:lvlText w:val="%9."/>
      <w:lvlJc w:val="right"/>
      <w:pPr>
        <w:ind w:left="7680" w:hanging="180"/>
      </w:pPr>
    </w:lvl>
  </w:abstractNum>
  <w:abstractNum w:abstractNumId="1">
    <w:nsid w:val="0E4F132A"/>
    <w:multiLevelType w:val="hybridMultilevel"/>
    <w:tmpl w:val="CEE6D662"/>
    <w:lvl w:ilvl="0" w:tplc="0408000F">
      <w:start w:val="1"/>
      <w:numFmt w:val="decimal"/>
      <w:lvlText w:val="%1."/>
      <w:lvlJc w:val="left"/>
      <w:pPr>
        <w:ind w:left="900" w:hanging="360"/>
      </w:pPr>
    </w:lvl>
    <w:lvl w:ilvl="1" w:tplc="04080019" w:tentative="1">
      <w:start w:val="1"/>
      <w:numFmt w:val="lowerLetter"/>
      <w:lvlText w:val="%2."/>
      <w:lvlJc w:val="left"/>
      <w:pPr>
        <w:ind w:left="1620" w:hanging="360"/>
      </w:pPr>
    </w:lvl>
    <w:lvl w:ilvl="2" w:tplc="0408001B" w:tentative="1">
      <w:start w:val="1"/>
      <w:numFmt w:val="lowerRoman"/>
      <w:lvlText w:val="%3."/>
      <w:lvlJc w:val="right"/>
      <w:pPr>
        <w:ind w:left="2340" w:hanging="180"/>
      </w:pPr>
    </w:lvl>
    <w:lvl w:ilvl="3" w:tplc="0408000F" w:tentative="1">
      <w:start w:val="1"/>
      <w:numFmt w:val="decimal"/>
      <w:lvlText w:val="%4."/>
      <w:lvlJc w:val="left"/>
      <w:pPr>
        <w:ind w:left="3060" w:hanging="360"/>
      </w:pPr>
    </w:lvl>
    <w:lvl w:ilvl="4" w:tplc="04080019" w:tentative="1">
      <w:start w:val="1"/>
      <w:numFmt w:val="lowerLetter"/>
      <w:lvlText w:val="%5."/>
      <w:lvlJc w:val="left"/>
      <w:pPr>
        <w:ind w:left="3780" w:hanging="360"/>
      </w:pPr>
    </w:lvl>
    <w:lvl w:ilvl="5" w:tplc="0408001B" w:tentative="1">
      <w:start w:val="1"/>
      <w:numFmt w:val="lowerRoman"/>
      <w:lvlText w:val="%6."/>
      <w:lvlJc w:val="right"/>
      <w:pPr>
        <w:ind w:left="4500" w:hanging="180"/>
      </w:pPr>
    </w:lvl>
    <w:lvl w:ilvl="6" w:tplc="0408000F" w:tentative="1">
      <w:start w:val="1"/>
      <w:numFmt w:val="decimal"/>
      <w:lvlText w:val="%7."/>
      <w:lvlJc w:val="left"/>
      <w:pPr>
        <w:ind w:left="5220" w:hanging="360"/>
      </w:pPr>
    </w:lvl>
    <w:lvl w:ilvl="7" w:tplc="04080019" w:tentative="1">
      <w:start w:val="1"/>
      <w:numFmt w:val="lowerLetter"/>
      <w:lvlText w:val="%8."/>
      <w:lvlJc w:val="left"/>
      <w:pPr>
        <w:ind w:left="5940" w:hanging="360"/>
      </w:pPr>
    </w:lvl>
    <w:lvl w:ilvl="8" w:tplc="0408001B" w:tentative="1">
      <w:start w:val="1"/>
      <w:numFmt w:val="lowerRoman"/>
      <w:lvlText w:val="%9."/>
      <w:lvlJc w:val="right"/>
      <w:pPr>
        <w:ind w:left="6660" w:hanging="180"/>
      </w:pPr>
    </w:lvl>
  </w:abstractNum>
  <w:abstractNum w:abstractNumId="2">
    <w:nsid w:val="13EF7869"/>
    <w:multiLevelType w:val="hybridMultilevel"/>
    <w:tmpl w:val="2E0A9A4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B3A2D75"/>
    <w:multiLevelType w:val="hybridMultilevel"/>
    <w:tmpl w:val="3C82D58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BC213E6"/>
    <w:multiLevelType w:val="hybridMultilevel"/>
    <w:tmpl w:val="082847A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F4C65E1"/>
    <w:multiLevelType w:val="hybridMultilevel"/>
    <w:tmpl w:val="5718CB48"/>
    <w:lvl w:ilvl="0" w:tplc="0408000F">
      <w:start w:val="1"/>
      <w:numFmt w:val="decimal"/>
      <w:lvlText w:val="%1."/>
      <w:lvlJc w:val="left"/>
      <w:pPr>
        <w:ind w:left="840" w:hanging="360"/>
      </w:pPr>
    </w:lvl>
    <w:lvl w:ilvl="1" w:tplc="04080019" w:tentative="1">
      <w:start w:val="1"/>
      <w:numFmt w:val="lowerLetter"/>
      <w:lvlText w:val="%2."/>
      <w:lvlJc w:val="left"/>
      <w:pPr>
        <w:ind w:left="1560" w:hanging="360"/>
      </w:pPr>
    </w:lvl>
    <w:lvl w:ilvl="2" w:tplc="0408001B" w:tentative="1">
      <w:start w:val="1"/>
      <w:numFmt w:val="lowerRoman"/>
      <w:lvlText w:val="%3."/>
      <w:lvlJc w:val="right"/>
      <w:pPr>
        <w:ind w:left="2280" w:hanging="180"/>
      </w:pPr>
    </w:lvl>
    <w:lvl w:ilvl="3" w:tplc="0408000F" w:tentative="1">
      <w:start w:val="1"/>
      <w:numFmt w:val="decimal"/>
      <w:lvlText w:val="%4."/>
      <w:lvlJc w:val="left"/>
      <w:pPr>
        <w:ind w:left="3000" w:hanging="360"/>
      </w:pPr>
    </w:lvl>
    <w:lvl w:ilvl="4" w:tplc="04080019" w:tentative="1">
      <w:start w:val="1"/>
      <w:numFmt w:val="lowerLetter"/>
      <w:lvlText w:val="%5."/>
      <w:lvlJc w:val="left"/>
      <w:pPr>
        <w:ind w:left="3720" w:hanging="360"/>
      </w:pPr>
    </w:lvl>
    <w:lvl w:ilvl="5" w:tplc="0408001B" w:tentative="1">
      <w:start w:val="1"/>
      <w:numFmt w:val="lowerRoman"/>
      <w:lvlText w:val="%6."/>
      <w:lvlJc w:val="right"/>
      <w:pPr>
        <w:ind w:left="4440" w:hanging="180"/>
      </w:pPr>
    </w:lvl>
    <w:lvl w:ilvl="6" w:tplc="0408000F" w:tentative="1">
      <w:start w:val="1"/>
      <w:numFmt w:val="decimal"/>
      <w:lvlText w:val="%7."/>
      <w:lvlJc w:val="left"/>
      <w:pPr>
        <w:ind w:left="5160" w:hanging="360"/>
      </w:pPr>
    </w:lvl>
    <w:lvl w:ilvl="7" w:tplc="04080019" w:tentative="1">
      <w:start w:val="1"/>
      <w:numFmt w:val="lowerLetter"/>
      <w:lvlText w:val="%8."/>
      <w:lvlJc w:val="left"/>
      <w:pPr>
        <w:ind w:left="5880" w:hanging="360"/>
      </w:pPr>
    </w:lvl>
    <w:lvl w:ilvl="8" w:tplc="0408001B" w:tentative="1">
      <w:start w:val="1"/>
      <w:numFmt w:val="lowerRoman"/>
      <w:lvlText w:val="%9."/>
      <w:lvlJc w:val="right"/>
      <w:pPr>
        <w:ind w:left="6600" w:hanging="180"/>
      </w:pPr>
    </w:lvl>
  </w:abstractNum>
  <w:abstractNum w:abstractNumId="6">
    <w:nsid w:val="20324491"/>
    <w:multiLevelType w:val="hybridMultilevel"/>
    <w:tmpl w:val="590C95E4"/>
    <w:lvl w:ilvl="0" w:tplc="21C296F2">
      <w:numFmt w:val="bullet"/>
      <w:lvlText w:val="-"/>
      <w:lvlJc w:val="left"/>
      <w:pPr>
        <w:ind w:left="720" w:hanging="360"/>
      </w:pPr>
      <w:rPr>
        <w:rFonts w:ascii="Calibri" w:eastAsia="Calibr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0DD65D4"/>
    <w:multiLevelType w:val="hybridMultilevel"/>
    <w:tmpl w:val="A9106532"/>
    <w:lvl w:ilvl="0" w:tplc="0408000F">
      <w:start w:val="1"/>
      <w:numFmt w:val="decimal"/>
      <w:lvlText w:val="%1."/>
      <w:lvlJc w:val="left"/>
      <w:pPr>
        <w:ind w:left="1500" w:hanging="360"/>
      </w:pPr>
    </w:lvl>
    <w:lvl w:ilvl="1" w:tplc="04080019" w:tentative="1">
      <w:start w:val="1"/>
      <w:numFmt w:val="lowerLetter"/>
      <w:lvlText w:val="%2."/>
      <w:lvlJc w:val="left"/>
      <w:pPr>
        <w:ind w:left="2220" w:hanging="360"/>
      </w:pPr>
    </w:lvl>
    <w:lvl w:ilvl="2" w:tplc="0408001B" w:tentative="1">
      <w:start w:val="1"/>
      <w:numFmt w:val="lowerRoman"/>
      <w:lvlText w:val="%3."/>
      <w:lvlJc w:val="right"/>
      <w:pPr>
        <w:ind w:left="2940" w:hanging="180"/>
      </w:pPr>
    </w:lvl>
    <w:lvl w:ilvl="3" w:tplc="0408000F" w:tentative="1">
      <w:start w:val="1"/>
      <w:numFmt w:val="decimal"/>
      <w:lvlText w:val="%4."/>
      <w:lvlJc w:val="left"/>
      <w:pPr>
        <w:ind w:left="3660" w:hanging="360"/>
      </w:pPr>
    </w:lvl>
    <w:lvl w:ilvl="4" w:tplc="04080019" w:tentative="1">
      <w:start w:val="1"/>
      <w:numFmt w:val="lowerLetter"/>
      <w:lvlText w:val="%5."/>
      <w:lvlJc w:val="left"/>
      <w:pPr>
        <w:ind w:left="4380" w:hanging="360"/>
      </w:pPr>
    </w:lvl>
    <w:lvl w:ilvl="5" w:tplc="0408001B" w:tentative="1">
      <w:start w:val="1"/>
      <w:numFmt w:val="lowerRoman"/>
      <w:lvlText w:val="%6."/>
      <w:lvlJc w:val="right"/>
      <w:pPr>
        <w:ind w:left="5100" w:hanging="180"/>
      </w:pPr>
    </w:lvl>
    <w:lvl w:ilvl="6" w:tplc="0408000F" w:tentative="1">
      <w:start w:val="1"/>
      <w:numFmt w:val="decimal"/>
      <w:lvlText w:val="%7."/>
      <w:lvlJc w:val="left"/>
      <w:pPr>
        <w:ind w:left="5820" w:hanging="360"/>
      </w:pPr>
    </w:lvl>
    <w:lvl w:ilvl="7" w:tplc="04080019" w:tentative="1">
      <w:start w:val="1"/>
      <w:numFmt w:val="lowerLetter"/>
      <w:lvlText w:val="%8."/>
      <w:lvlJc w:val="left"/>
      <w:pPr>
        <w:ind w:left="6540" w:hanging="360"/>
      </w:pPr>
    </w:lvl>
    <w:lvl w:ilvl="8" w:tplc="0408001B" w:tentative="1">
      <w:start w:val="1"/>
      <w:numFmt w:val="lowerRoman"/>
      <w:lvlText w:val="%9."/>
      <w:lvlJc w:val="right"/>
      <w:pPr>
        <w:ind w:left="7260" w:hanging="180"/>
      </w:pPr>
    </w:lvl>
  </w:abstractNum>
  <w:abstractNum w:abstractNumId="8">
    <w:nsid w:val="3B125619"/>
    <w:multiLevelType w:val="hybridMultilevel"/>
    <w:tmpl w:val="AEDA952A"/>
    <w:lvl w:ilvl="0" w:tplc="0408000F">
      <w:start w:val="1"/>
      <w:numFmt w:val="decimal"/>
      <w:lvlText w:val="%1."/>
      <w:lvlJc w:val="left"/>
      <w:pPr>
        <w:ind w:left="1140" w:hanging="360"/>
      </w:pPr>
    </w:lvl>
    <w:lvl w:ilvl="1" w:tplc="04080019" w:tentative="1">
      <w:start w:val="1"/>
      <w:numFmt w:val="lowerLetter"/>
      <w:lvlText w:val="%2."/>
      <w:lvlJc w:val="left"/>
      <w:pPr>
        <w:ind w:left="1860" w:hanging="360"/>
      </w:pPr>
    </w:lvl>
    <w:lvl w:ilvl="2" w:tplc="0408001B" w:tentative="1">
      <w:start w:val="1"/>
      <w:numFmt w:val="lowerRoman"/>
      <w:lvlText w:val="%3."/>
      <w:lvlJc w:val="right"/>
      <w:pPr>
        <w:ind w:left="2580" w:hanging="180"/>
      </w:pPr>
    </w:lvl>
    <w:lvl w:ilvl="3" w:tplc="0408000F" w:tentative="1">
      <w:start w:val="1"/>
      <w:numFmt w:val="decimal"/>
      <w:lvlText w:val="%4."/>
      <w:lvlJc w:val="left"/>
      <w:pPr>
        <w:ind w:left="3300" w:hanging="360"/>
      </w:pPr>
    </w:lvl>
    <w:lvl w:ilvl="4" w:tplc="04080019" w:tentative="1">
      <w:start w:val="1"/>
      <w:numFmt w:val="lowerLetter"/>
      <w:lvlText w:val="%5."/>
      <w:lvlJc w:val="left"/>
      <w:pPr>
        <w:ind w:left="4020" w:hanging="360"/>
      </w:pPr>
    </w:lvl>
    <w:lvl w:ilvl="5" w:tplc="0408001B" w:tentative="1">
      <w:start w:val="1"/>
      <w:numFmt w:val="lowerRoman"/>
      <w:lvlText w:val="%6."/>
      <w:lvlJc w:val="right"/>
      <w:pPr>
        <w:ind w:left="4740" w:hanging="180"/>
      </w:pPr>
    </w:lvl>
    <w:lvl w:ilvl="6" w:tplc="0408000F" w:tentative="1">
      <w:start w:val="1"/>
      <w:numFmt w:val="decimal"/>
      <w:lvlText w:val="%7."/>
      <w:lvlJc w:val="left"/>
      <w:pPr>
        <w:ind w:left="5460" w:hanging="360"/>
      </w:pPr>
    </w:lvl>
    <w:lvl w:ilvl="7" w:tplc="04080019" w:tentative="1">
      <w:start w:val="1"/>
      <w:numFmt w:val="lowerLetter"/>
      <w:lvlText w:val="%8."/>
      <w:lvlJc w:val="left"/>
      <w:pPr>
        <w:ind w:left="6180" w:hanging="360"/>
      </w:pPr>
    </w:lvl>
    <w:lvl w:ilvl="8" w:tplc="0408001B" w:tentative="1">
      <w:start w:val="1"/>
      <w:numFmt w:val="lowerRoman"/>
      <w:lvlText w:val="%9."/>
      <w:lvlJc w:val="right"/>
      <w:pPr>
        <w:ind w:left="6900" w:hanging="180"/>
      </w:pPr>
    </w:lvl>
  </w:abstractNum>
  <w:abstractNum w:abstractNumId="9">
    <w:nsid w:val="3E00525F"/>
    <w:multiLevelType w:val="hybridMultilevel"/>
    <w:tmpl w:val="AE241744"/>
    <w:lvl w:ilvl="0" w:tplc="0408000F">
      <w:start w:val="1"/>
      <w:numFmt w:val="decimal"/>
      <w:lvlText w:val="%1."/>
      <w:lvlJc w:val="left"/>
      <w:pPr>
        <w:ind w:left="900" w:hanging="360"/>
      </w:pPr>
    </w:lvl>
    <w:lvl w:ilvl="1" w:tplc="04080019" w:tentative="1">
      <w:start w:val="1"/>
      <w:numFmt w:val="lowerLetter"/>
      <w:lvlText w:val="%2."/>
      <w:lvlJc w:val="left"/>
      <w:pPr>
        <w:ind w:left="1620" w:hanging="360"/>
      </w:pPr>
    </w:lvl>
    <w:lvl w:ilvl="2" w:tplc="0408001B" w:tentative="1">
      <w:start w:val="1"/>
      <w:numFmt w:val="lowerRoman"/>
      <w:lvlText w:val="%3."/>
      <w:lvlJc w:val="right"/>
      <w:pPr>
        <w:ind w:left="2340" w:hanging="180"/>
      </w:pPr>
    </w:lvl>
    <w:lvl w:ilvl="3" w:tplc="0408000F" w:tentative="1">
      <w:start w:val="1"/>
      <w:numFmt w:val="decimal"/>
      <w:lvlText w:val="%4."/>
      <w:lvlJc w:val="left"/>
      <w:pPr>
        <w:ind w:left="3060" w:hanging="360"/>
      </w:pPr>
    </w:lvl>
    <w:lvl w:ilvl="4" w:tplc="04080019" w:tentative="1">
      <w:start w:val="1"/>
      <w:numFmt w:val="lowerLetter"/>
      <w:lvlText w:val="%5."/>
      <w:lvlJc w:val="left"/>
      <w:pPr>
        <w:ind w:left="3780" w:hanging="360"/>
      </w:pPr>
    </w:lvl>
    <w:lvl w:ilvl="5" w:tplc="0408001B" w:tentative="1">
      <w:start w:val="1"/>
      <w:numFmt w:val="lowerRoman"/>
      <w:lvlText w:val="%6."/>
      <w:lvlJc w:val="right"/>
      <w:pPr>
        <w:ind w:left="4500" w:hanging="180"/>
      </w:pPr>
    </w:lvl>
    <w:lvl w:ilvl="6" w:tplc="0408000F" w:tentative="1">
      <w:start w:val="1"/>
      <w:numFmt w:val="decimal"/>
      <w:lvlText w:val="%7."/>
      <w:lvlJc w:val="left"/>
      <w:pPr>
        <w:ind w:left="5220" w:hanging="360"/>
      </w:pPr>
    </w:lvl>
    <w:lvl w:ilvl="7" w:tplc="04080019" w:tentative="1">
      <w:start w:val="1"/>
      <w:numFmt w:val="lowerLetter"/>
      <w:lvlText w:val="%8."/>
      <w:lvlJc w:val="left"/>
      <w:pPr>
        <w:ind w:left="5940" w:hanging="360"/>
      </w:pPr>
    </w:lvl>
    <w:lvl w:ilvl="8" w:tplc="0408001B" w:tentative="1">
      <w:start w:val="1"/>
      <w:numFmt w:val="lowerRoman"/>
      <w:lvlText w:val="%9."/>
      <w:lvlJc w:val="right"/>
      <w:pPr>
        <w:ind w:left="6660" w:hanging="180"/>
      </w:pPr>
    </w:lvl>
  </w:abstractNum>
  <w:abstractNum w:abstractNumId="10">
    <w:nsid w:val="443C7C27"/>
    <w:multiLevelType w:val="hybridMultilevel"/>
    <w:tmpl w:val="25069F68"/>
    <w:lvl w:ilvl="0" w:tplc="0408000F">
      <w:start w:val="1"/>
      <w:numFmt w:val="decimal"/>
      <w:lvlText w:val="%1."/>
      <w:lvlJc w:val="left"/>
      <w:pPr>
        <w:ind w:left="1860" w:hanging="360"/>
      </w:pPr>
    </w:lvl>
    <w:lvl w:ilvl="1" w:tplc="04080019" w:tentative="1">
      <w:start w:val="1"/>
      <w:numFmt w:val="lowerLetter"/>
      <w:lvlText w:val="%2."/>
      <w:lvlJc w:val="left"/>
      <w:pPr>
        <w:ind w:left="2580" w:hanging="360"/>
      </w:pPr>
    </w:lvl>
    <w:lvl w:ilvl="2" w:tplc="0408001B" w:tentative="1">
      <w:start w:val="1"/>
      <w:numFmt w:val="lowerRoman"/>
      <w:lvlText w:val="%3."/>
      <w:lvlJc w:val="right"/>
      <w:pPr>
        <w:ind w:left="3300" w:hanging="180"/>
      </w:pPr>
    </w:lvl>
    <w:lvl w:ilvl="3" w:tplc="0408000F" w:tentative="1">
      <w:start w:val="1"/>
      <w:numFmt w:val="decimal"/>
      <w:lvlText w:val="%4."/>
      <w:lvlJc w:val="left"/>
      <w:pPr>
        <w:ind w:left="4020" w:hanging="360"/>
      </w:pPr>
    </w:lvl>
    <w:lvl w:ilvl="4" w:tplc="04080019" w:tentative="1">
      <w:start w:val="1"/>
      <w:numFmt w:val="lowerLetter"/>
      <w:lvlText w:val="%5."/>
      <w:lvlJc w:val="left"/>
      <w:pPr>
        <w:ind w:left="4740" w:hanging="360"/>
      </w:pPr>
    </w:lvl>
    <w:lvl w:ilvl="5" w:tplc="0408001B" w:tentative="1">
      <w:start w:val="1"/>
      <w:numFmt w:val="lowerRoman"/>
      <w:lvlText w:val="%6."/>
      <w:lvlJc w:val="right"/>
      <w:pPr>
        <w:ind w:left="5460" w:hanging="180"/>
      </w:pPr>
    </w:lvl>
    <w:lvl w:ilvl="6" w:tplc="0408000F" w:tentative="1">
      <w:start w:val="1"/>
      <w:numFmt w:val="decimal"/>
      <w:lvlText w:val="%7."/>
      <w:lvlJc w:val="left"/>
      <w:pPr>
        <w:ind w:left="6180" w:hanging="360"/>
      </w:pPr>
    </w:lvl>
    <w:lvl w:ilvl="7" w:tplc="04080019" w:tentative="1">
      <w:start w:val="1"/>
      <w:numFmt w:val="lowerLetter"/>
      <w:lvlText w:val="%8."/>
      <w:lvlJc w:val="left"/>
      <w:pPr>
        <w:ind w:left="6900" w:hanging="360"/>
      </w:pPr>
    </w:lvl>
    <w:lvl w:ilvl="8" w:tplc="0408001B" w:tentative="1">
      <w:start w:val="1"/>
      <w:numFmt w:val="lowerRoman"/>
      <w:lvlText w:val="%9."/>
      <w:lvlJc w:val="right"/>
      <w:pPr>
        <w:ind w:left="7620" w:hanging="180"/>
      </w:pPr>
    </w:lvl>
  </w:abstractNum>
  <w:abstractNum w:abstractNumId="11">
    <w:nsid w:val="4A205EE9"/>
    <w:multiLevelType w:val="hybridMultilevel"/>
    <w:tmpl w:val="D0E20ECC"/>
    <w:lvl w:ilvl="0" w:tplc="0408000F">
      <w:start w:val="1"/>
      <w:numFmt w:val="decimal"/>
      <w:lvlText w:val="%1."/>
      <w:lvlJc w:val="left"/>
      <w:pPr>
        <w:ind w:left="1320" w:hanging="360"/>
      </w:pPr>
    </w:lvl>
    <w:lvl w:ilvl="1" w:tplc="04080019" w:tentative="1">
      <w:start w:val="1"/>
      <w:numFmt w:val="lowerLetter"/>
      <w:lvlText w:val="%2."/>
      <w:lvlJc w:val="left"/>
      <w:pPr>
        <w:ind w:left="2040" w:hanging="360"/>
      </w:pPr>
    </w:lvl>
    <w:lvl w:ilvl="2" w:tplc="0408001B" w:tentative="1">
      <w:start w:val="1"/>
      <w:numFmt w:val="lowerRoman"/>
      <w:lvlText w:val="%3."/>
      <w:lvlJc w:val="right"/>
      <w:pPr>
        <w:ind w:left="2760" w:hanging="180"/>
      </w:pPr>
    </w:lvl>
    <w:lvl w:ilvl="3" w:tplc="0408000F" w:tentative="1">
      <w:start w:val="1"/>
      <w:numFmt w:val="decimal"/>
      <w:lvlText w:val="%4."/>
      <w:lvlJc w:val="left"/>
      <w:pPr>
        <w:ind w:left="3480" w:hanging="360"/>
      </w:pPr>
    </w:lvl>
    <w:lvl w:ilvl="4" w:tplc="04080019" w:tentative="1">
      <w:start w:val="1"/>
      <w:numFmt w:val="lowerLetter"/>
      <w:lvlText w:val="%5."/>
      <w:lvlJc w:val="left"/>
      <w:pPr>
        <w:ind w:left="4200" w:hanging="360"/>
      </w:pPr>
    </w:lvl>
    <w:lvl w:ilvl="5" w:tplc="0408001B" w:tentative="1">
      <w:start w:val="1"/>
      <w:numFmt w:val="lowerRoman"/>
      <w:lvlText w:val="%6."/>
      <w:lvlJc w:val="right"/>
      <w:pPr>
        <w:ind w:left="4920" w:hanging="180"/>
      </w:pPr>
    </w:lvl>
    <w:lvl w:ilvl="6" w:tplc="0408000F" w:tentative="1">
      <w:start w:val="1"/>
      <w:numFmt w:val="decimal"/>
      <w:lvlText w:val="%7."/>
      <w:lvlJc w:val="left"/>
      <w:pPr>
        <w:ind w:left="5640" w:hanging="360"/>
      </w:pPr>
    </w:lvl>
    <w:lvl w:ilvl="7" w:tplc="04080019" w:tentative="1">
      <w:start w:val="1"/>
      <w:numFmt w:val="lowerLetter"/>
      <w:lvlText w:val="%8."/>
      <w:lvlJc w:val="left"/>
      <w:pPr>
        <w:ind w:left="6360" w:hanging="360"/>
      </w:pPr>
    </w:lvl>
    <w:lvl w:ilvl="8" w:tplc="0408001B" w:tentative="1">
      <w:start w:val="1"/>
      <w:numFmt w:val="lowerRoman"/>
      <w:lvlText w:val="%9."/>
      <w:lvlJc w:val="right"/>
      <w:pPr>
        <w:ind w:left="7080" w:hanging="180"/>
      </w:pPr>
    </w:lvl>
  </w:abstractNum>
  <w:abstractNum w:abstractNumId="12">
    <w:nsid w:val="4B2B67F5"/>
    <w:multiLevelType w:val="hybridMultilevel"/>
    <w:tmpl w:val="D5FCB01A"/>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3">
    <w:nsid w:val="565659DC"/>
    <w:multiLevelType w:val="hybridMultilevel"/>
    <w:tmpl w:val="2910BE3E"/>
    <w:lvl w:ilvl="0" w:tplc="0408000F">
      <w:start w:val="1"/>
      <w:numFmt w:val="decimal"/>
      <w:lvlText w:val="%1."/>
      <w:lvlJc w:val="left"/>
      <w:pPr>
        <w:ind w:left="1020" w:hanging="360"/>
      </w:pPr>
    </w:lvl>
    <w:lvl w:ilvl="1" w:tplc="04080019" w:tentative="1">
      <w:start w:val="1"/>
      <w:numFmt w:val="lowerLetter"/>
      <w:lvlText w:val="%2."/>
      <w:lvlJc w:val="left"/>
      <w:pPr>
        <w:ind w:left="1740" w:hanging="360"/>
      </w:pPr>
    </w:lvl>
    <w:lvl w:ilvl="2" w:tplc="0408001B" w:tentative="1">
      <w:start w:val="1"/>
      <w:numFmt w:val="lowerRoman"/>
      <w:lvlText w:val="%3."/>
      <w:lvlJc w:val="right"/>
      <w:pPr>
        <w:ind w:left="2460" w:hanging="180"/>
      </w:pPr>
    </w:lvl>
    <w:lvl w:ilvl="3" w:tplc="0408000F" w:tentative="1">
      <w:start w:val="1"/>
      <w:numFmt w:val="decimal"/>
      <w:lvlText w:val="%4."/>
      <w:lvlJc w:val="left"/>
      <w:pPr>
        <w:ind w:left="3180" w:hanging="360"/>
      </w:pPr>
    </w:lvl>
    <w:lvl w:ilvl="4" w:tplc="04080019" w:tentative="1">
      <w:start w:val="1"/>
      <w:numFmt w:val="lowerLetter"/>
      <w:lvlText w:val="%5."/>
      <w:lvlJc w:val="left"/>
      <w:pPr>
        <w:ind w:left="3900" w:hanging="360"/>
      </w:pPr>
    </w:lvl>
    <w:lvl w:ilvl="5" w:tplc="0408001B" w:tentative="1">
      <w:start w:val="1"/>
      <w:numFmt w:val="lowerRoman"/>
      <w:lvlText w:val="%6."/>
      <w:lvlJc w:val="right"/>
      <w:pPr>
        <w:ind w:left="4620" w:hanging="180"/>
      </w:pPr>
    </w:lvl>
    <w:lvl w:ilvl="6" w:tplc="0408000F" w:tentative="1">
      <w:start w:val="1"/>
      <w:numFmt w:val="decimal"/>
      <w:lvlText w:val="%7."/>
      <w:lvlJc w:val="left"/>
      <w:pPr>
        <w:ind w:left="5340" w:hanging="360"/>
      </w:pPr>
    </w:lvl>
    <w:lvl w:ilvl="7" w:tplc="04080019" w:tentative="1">
      <w:start w:val="1"/>
      <w:numFmt w:val="lowerLetter"/>
      <w:lvlText w:val="%8."/>
      <w:lvlJc w:val="left"/>
      <w:pPr>
        <w:ind w:left="6060" w:hanging="360"/>
      </w:pPr>
    </w:lvl>
    <w:lvl w:ilvl="8" w:tplc="0408001B" w:tentative="1">
      <w:start w:val="1"/>
      <w:numFmt w:val="lowerRoman"/>
      <w:lvlText w:val="%9."/>
      <w:lvlJc w:val="right"/>
      <w:pPr>
        <w:ind w:left="6780" w:hanging="180"/>
      </w:pPr>
    </w:lvl>
  </w:abstractNum>
  <w:abstractNum w:abstractNumId="14">
    <w:nsid w:val="616C4428"/>
    <w:multiLevelType w:val="hybridMultilevel"/>
    <w:tmpl w:val="0DB8C86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6AE47B0C"/>
    <w:multiLevelType w:val="hybridMultilevel"/>
    <w:tmpl w:val="48D0D4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6BB71427"/>
    <w:multiLevelType w:val="hybridMultilevel"/>
    <w:tmpl w:val="A038218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720C116E"/>
    <w:multiLevelType w:val="hybridMultilevel"/>
    <w:tmpl w:val="D6980D7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7BF83596"/>
    <w:multiLevelType w:val="hybridMultilevel"/>
    <w:tmpl w:val="02887EE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7D0C19C1"/>
    <w:multiLevelType w:val="hybridMultilevel"/>
    <w:tmpl w:val="4A087EEE"/>
    <w:lvl w:ilvl="0" w:tplc="0408000F">
      <w:start w:val="1"/>
      <w:numFmt w:val="decimal"/>
      <w:lvlText w:val="%1."/>
      <w:lvlJc w:val="left"/>
      <w:pPr>
        <w:ind w:left="960" w:hanging="360"/>
      </w:pPr>
    </w:lvl>
    <w:lvl w:ilvl="1" w:tplc="04080019" w:tentative="1">
      <w:start w:val="1"/>
      <w:numFmt w:val="lowerLetter"/>
      <w:lvlText w:val="%2."/>
      <w:lvlJc w:val="left"/>
      <w:pPr>
        <w:ind w:left="1680" w:hanging="360"/>
      </w:pPr>
    </w:lvl>
    <w:lvl w:ilvl="2" w:tplc="0408001B" w:tentative="1">
      <w:start w:val="1"/>
      <w:numFmt w:val="lowerRoman"/>
      <w:lvlText w:val="%3."/>
      <w:lvlJc w:val="right"/>
      <w:pPr>
        <w:ind w:left="2400" w:hanging="180"/>
      </w:pPr>
    </w:lvl>
    <w:lvl w:ilvl="3" w:tplc="0408000F" w:tentative="1">
      <w:start w:val="1"/>
      <w:numFmt w:val="decimal"/>
      <w:lvlText w:val="%4."/>
      <w:lvlJc w:val="left"/>
      <w:pPr>
        <w:ind w:left="3120" w:hanging="360"/>
      </w:pPr>
    </w:lvl>
    <w:lvl w:ilvl="4" w:tplc="04080019" w:tentative="1">
      <w:start w:val="1"/>
      <w:numFmt w:val="lowerLetter"/>
      <w:lvlText w:val="%5."/>
      <w:lvlJc w:val="left"/>
      <w:pPr>
        <w:ind w:left="3840" w:hanging="360"/>
      </w:pPr>
    </w:lvl>
    <w:lvl w:ilvl="5" w:tplc="0408001B" w:tentative="1">
      <w:start w:val="1"/>
      <w:numFmt w:val="lowerRoman"/>
      <w:lvlText w:val="%6."/>
      <w:lvlJc w:val="right"/>
      <w:pPr>
        <w:ind w:left="4560" w:hanging="180"/>
      </w:pPr>
    </w:lvl>
    <w:lvl w:ilvl="6" w:tplc="0408000F" w:tentative="1">
      <w:start w:val="1"/>
      <w:numFmt w:val="decimal"/>
      <w:lvlText w:val="%7."/>
      <w:lvlJc w:val="left"/>
      <w:pPr>
        <w:ind w:left="5280" w:hanging="360"/>
      </w:pPr>
    </w:lvl>
    <w:lvl w:ilvl="7" w:tplc="04080019" w:tentative="1">
      <w:start w:val="1"/>
      <w:numFmt w:val="lowerLetter"/>
      <w:lvlText w:val="%8."/>
      <w:lvlJc w:val="left"/>
      <w:pPr>
        <w:ind w:left="6000" w:hanging="360"/>
      </w:pPr>
    </w:lvl>
    <w:lvl w:ilvl="8" w:tplc="0408001B" w:tentative="1">
      <w:start w:val="1"/>
      <w:numFmt w:val="lowerRoman"/>
      <w:lvlText w:val="%9."/>
      <w:lvlJc w:val="right"/>
      <w:pPr>
        <w:ind w:left="6720" w:hanging="180"/>
      </w:pPr>
    </w:lvl>
  </w:abstractNum>
  <w:num w:numId="1">
    <w:abstractNumId w:val="3"/>
  </w:num>
  <w:num w:numId="2">
    <w:abstractNumId w:val="16"/>
  </w:num>
  <w:num w:numId="3">
    <w:abstractNumId w:val="15"/>
  </w:num>
  <w:num w:numId="4">
    <w:abstractNumId w:val="1"/>
  </w:num>
  <w:num w:numId="5">
    <w:abstractNumId w:val="19"/>
  </w:num>
  <w:num w:numId="6">
    <w:abstractNumId w:val="8"/>
  </w:num>
  <w:num w:numId="7">
    <w:abstractNumId w:val="11"/>
  </w:num>
  <w:num w:numId="8">
    <w:abstractNumId w:val="0"/>
  </w:num>
  <w:num w:numId="9">
    <w:abstractNumId w:val="18"/>
  </w:num>
  <w:num w:numId="10">
    <w:abstractNumId w:val="2"/>
  </w:num>
  <w:num w:numId="11">
    <w:abstractNumId w:val="10"/>
  </w:num>
  <w:num w:numId="12">
    <w:abstractNumId w:val="12"/>
  </w:num>
  <w:num w:numId="13">
    <w:abstractNumId w:val="6"/>
  </w:num>
  <w:num w:numId="14">
    <w:abstractNumId w:val="4"/>
  </w:num>
  <w:num w:numId="15">
    <w:abstractNumId w:val="17"/>
  </w:num>
  <w:num w:numId="16">
    <w:abstractNumId w:val="13"/>
  </w:num>
  <w:num w:numId="17">
    <w:abstractNumId w:val="14"/>
  </w:num>
  <w:num w:numId="18">
    <w:abstractNumId w:val="5"/>
  </w:num>
  <w:num w:numId="19">
    <w:abstractNumId w:val="7"/>
  </w:num>
  <w:num w:numId="2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stylePaneFormatFilter w:val="3F01"/>
  <w:defaultTabStop w:val="720"/>
  <w:characterSpacingControl w:val="doNotCompress"/>
  <w:compat/>
  <w:rsids>
    <w:rsidRoot w:val="009945B0"/>
    <w:rsid w:val="00436E12"/>
    <w:rsid w:val="004A4F6F"/>
    <w:rsid w:val="005049A3"/>
    <w:rsid w:val="00616425"/>
    <w:rsid w:val="00991948"/>
    <w:rsid w:val="009945B0"/>
    <w:rsid w:val="00A60D19"/>
    <w:rsid w:val="00C3031A"/>
    <w:rsid w:val="00F008B0"/>
    <w:rsid w:val="00F63116"/>
    <w:rsid w:val="00F8532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City"/>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945B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9945B0"/>
    <w:pPr>
      <w:spacing w:line="360" w:lineRule="auto"/>
      <w:ind w:left="540" w:hanging="540"/>
      <w:jc w:val="both"/>
    </w:pPr>
  </w:style>
  <w:style w:type="paragraph" w:styleId="a4">
    <w:name w:val="List Paragraph"/>
    <w:basedOn w:val="a"/>
    <w:qFormat/>
    <w:rsid w:val="009945B0"/>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9</Pages>
  <Words>3655</Words>
  <Characters>19739</Characters>
  <Application>Microsoft Office Word</Application>
  <DocSecurity>0</DocSecurity>
  <Lines>164</Lines>
  <Paragraphs>46</Paragraphs>
  <ScaleCrop>false</ScaleCrop>
  <HeadingPairs>
    <vt:vector size="2" baseType="variant">
      <vt:variant>
        <vt:lpstr>Τίτλος</vt:lpstr>
      </vt:variant>
      <vt:variant>
        <vt:i4>1</vt:i4>
      </vt:variant>
    </vt:vector>
  </HeadingPairs>
  <TitlesOfParts>
    <vt:vector size="1" baseType="lpstr">
      <vt:lpstr>  Εικόνα 11</vt:lpstr>
    </vt:vector>
  </TitlesOfParts>
  <Company/>
  <LinksUpToDate>false</LinksUpToDate>
  <CharactersWithSpaces>23348</CharactersWithSpaces>
  <SharedDoc>false</SharedDoc>
  <HLinks>
    <vt:vector size="12" baseType="variant">
      <vt:variant>
        <vt:i4>458786</vt:i4>
      </vt:variant>
      <vt:variant>
        <vt:i4>3</vt:i4>
      </vt:variant>
      <vt:variant>
        <vt:i4>0</vt:i4>
      </vt:variant>
      <vt:variant>
        <vt:i4>5</vt:i4>
      </vt:variant>
      <vt:variant>
        <vt:lpwstr>http://www.sciencedirect.com/science?_ob=PublicationURL&amp;_tockey=%23TOC%236074%232005%23998099997%23601789%23FLA%23&amp;_cdi=6074&amp;_pubType=J&amp;_auth=y&amp;_acct=C000059656&amp;_version=1&amp;_urlVersion=0&amp;_userid=604493&amp;md5=ae65d59c7253a15f34001aa52d1a27a9</vt:lpwstr>
      </vt:variant>
      <vt:variant>
        <vt:lpwstr/>
      </vt:variant>
      <vt:variant>
        <vt:i4>4718595</vt:i4>
      </vt:variant>
      <vt:variant>
        <vt:i4>0</vt:i4>
      </vt:variant>
      <vt:variant>
        <vt:i4>0</vt:i4>
      </vt:variant>
      <vt:variant>
        <vt:i4>5</vt:i4>
      </vt:variant>
      <vt:variant>
        <vt:lpwstr>http://www.sciencedirect.com/science/journal/00029610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Εικόνα 11</dc:title>
  <dc:creator>user</dc:creator>
  <cp:lastModifiedBy>user</cp:lastModifiedBy>
  <cp:revision>6</cp:revision>
  <dcterms:created xsi:type="dcterms:W3CDTF">2012-01-22T23:36:00Z</dcterms:created>
  <dcterms:modified xsi:type="dcterms:W3CDTF">2012-02-08T10:54:00Z</dcterms:modified>
</cp:coreProperties>
</file>