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DE4" w:rsidRPr="000F77DE" w:rsidRDefault="00D470E3" w:rsidP="005770B9">
      <w:pPr>
        <w:spacing w:line="240" w:lineRule="auto"/>
        <w:jc w:val="center"/>
        <w:rPr>
          <w:rFonts w:ascii="Arial" w:hAnsi="Arial" w:cs="Arial"/>
          <w:b/>
          <w:sz w:val="28"/>
          <w:szCs w:val="28"/>
        </w:rPr>
      </w:pPr>
      <w:r>
        <w:rPr>
          <w:rFonts w:ascii="Arial" w:hAnsi="Arial" w:cs="Arial"/>
          <w:b/>
          <w:sz w:val="28"/>
          <w:szCs w:val="28"/>
        </w:rPr>
        <w:t>ΚΑΚΟΗΘΗ ΝΕΟΠΛΑΣΜΑΤΑ ΤΟΥ ΛΕΠΤΟΥ ΕΝΤΕΡΟΥ</w:t>
      </w:r>
    </w:p>
    <w:p w:rsidR="00153693" w:rsidRPr="000F77DE" w:rsidRDefault="00153693" w:rsidP="005770B9">
      <w:pPr>
        <w:spacing w:line="240" w:lineRule="auto"/>
        <w:jc w:val="center"/>
        <w:rPr>
          <w:rFonts w:ascii="Arial" w:hAnsi="Arial" w:cs="Arial"/>
          <w:b/>
          <w:sz w:val="28"/>
          <w:szCs w:val="28"/>
        </w:rPr>
      </w:pPr>
    </w:p>
    <w:p w:rsidR="00153693" w:rsidRDefault="00153693" w:rsidP="00153693">
      <w:pPr>
        <w:spacing w:line="240" w:lineRule="auto"/>
        <w:jc w:val="right"/>
        <w:rPr>
          <w:rFonts w:ascii="Arial" w:hAnsi="Arial" w:cs="Arial"/>
          <w:i/>
          <w:sz w:val="28"/>
          <w:szCs w:val="28"/>
        </w:rPr>
      </w:pPr>
      <w:r>
        <w:rPr>
          <w:rFonts w:ascii="Arial" w:hAnsi="Arial" w:cs="Arial"/>
          <w:i/>
          <w:sz w:val="28"/>
          <w:szCs w:val="28"/>
        </w:rPr>
        <w:t>Υπό Εμμανουήλ Γοντικάκη</w:t>
      </w:r>
    </w:p>
    <w:p w:rsidR="00153693" w:rsidRPr="00153693" w:rsidRDefault="00153693" w:rsidP="00153693">
      <w:pPr>
        <w:spacing w:line="240" w:lineRule="auto"/>
        <w:jc w:val="right"/>
        <w:rPr>
          <w:rFonts w:ascii="Arial" w:hAnsi="Arial" w:cs="Arial"/>
          <w:i/>
          <w:sz w:val="28"/>
          <w:szCs w:val="28"/>
        </w:rPr>
      </w:pPr>
      <w:r>
        <w:rPr>
          <w:rFonts w:ascii="Arial" w:hAnsi="Arial" w:cs="Arial"/>
          <w:i/>
          <w:sz w:val="28"/>
          <w:szCs w:val="28"/>
        </w:rPr>
        <w:t>Χειρουργού</w:t>
      </w:r>
    </w:p>
    <w:p w:rsidR="00881086" w:rsidRPr="004712B7" w:rsidRDefault="00881086" w:rsidP="00881086">
      <w:pPr>
        <w:spacing w:line="240" w:lineRule="auto"/>
        <w:jc w:val="center"/>
        <w:rPr>
          <w:rFonts w:ascii="Arial" w:hAnsi="Arial" w:cs="Arial"/>
          <w:b/>
          <w:sz w:val="28"/>
          <w:szCs w:val="28"/>
        </w:rPr>
      </w:pPr>
    </w:p>
    <w:p w:rsidR="00881086" w:rsidRPr="006F5AC5" w:rsidRDefault="00881086" w:rsidP="00881086">
      <w:pPr>
        <w:spacing w:line="240" w:lineRule="auto"/>
        <w:ind w:firstLine="720"/>
        <w:jc w:val="both"/>
        <w:rPr>
          <w:rFonts w:ascii="Arial" w:hAnsi="Arial" w:cs="Arial"/>
          <w:sz w:val="24"/>
          <w:szCs w:val="24"/>
        </w:rPr>
      </w:pPr>
      <w:r w:rsidRPr="00173006">
        <w:rPr>
          <w:rFonts w:ascii="Arial" w:hAnsi="Arial" w:cs="Arial"/>
          <w:sz w:val="24"/>
          <w:szCs w:val="24"/>
        </w:rPr>
        <w:t>Τα κακοήθη νεοπλάσματα του λεπτού εντέρου είναι σχετικά σπάνιοι όγκοι και αποτελούν, περίπου, το 2% των όγκων του γαστρεντερικού συστήματος. Το ποσοστό αυτό είναι πολύ μικρό αν ληφθεί υπόψη ότι η βλεννογονική επιφάνεια του λεπτού εντέρου αποτελεί το 90% της συνολικής επιφάνειας του πεπτικού.</w:t>
      </w:r>
      <w:r w:rsidR="006F5AC5" w:rsidRPr="006F5AC5">
        <w:rPr>
          <w:rFonts w:ascii="Arial" w:hAnsi="Arial" w:cs="Arial"/>
          <w:sz w:val="24"/>
          <w:szCs w:val="24"/>
        </w:rPr>
        <w:t xml:space="preserve"> </w:t>
      </w:r>
    </w:p>
    <w:p w:rsidR="00422FDE" w:rsidRDefault="00FB2F03" w:rsidP="00881086">
      <w:pPr>
        <w:spacing w:line="240" w:lineRule="auto"/>
        <w:ind w:firstLine="720"/>
        <w:jc w:val="both"/>
        <w:rPr>
          <w:rFonts w:ascii="Arial" w:hAnsi="Arial" w:cs="Arial"/>
          <w:sz w:val="24"/>
          <w:szCs w:val="24"/>
        </w:rPr>
      </w:pPr>
      <w:r w:rsidRPr="00173006">
        <w:rPr>
          <w:rFonts w:ascii="Arial" w:hAnsi="Arial" w:cs="Arial"/>
          <w:sz w:val="24"/>
          <w:szCs w:val="24"/>
        </w:rPr>
        <w:t>Φαίνεται, λοιπόν, ότι το λεπτό έντερο παρουσιάζει σημαντική αντίσταση στην ανάπτυξη όγκων, σε σύγκριση με τα υπόλοιπα τμήματα του γαστρεντερικού σωλήνα και μια ποικιλία προστατευτικών μηχανισμών έχει, κατά καιρούς, αναφερθεί χωρίς κανείς από αυτούς να έχει διαπιστωθεί στον άνθρωπο.</w:t>
      </w:r>
      <w:r w:rsidR="00422FDE">
        <w:rPr>
          <w:rFonts w:ascii="Arial" w:hAnsi="Arial" w:cs="Arial"/>
          <w:sz w:val="24"/>
          <w:szCs w:val="24"/>
          <w:vertAlign w:val="superscript"/>
        </w:rPr>
        <w:t>1</w:t>
      </w:r>
      <w:r w:rsidR="00422FDE" w:rsidRPr="00422FDE">
        <w:rPr>
          <w:rFonts w:ascii="Arial" w:hAnsi="Arial" w:cs="Arial"/>
          <w:sz w:val="24"/>
          <w:szCs w:val="24"/>
        </w:rPr>
        <w:t xml:space="preserve"> Ως τ</w:t>
      </w:r>
      <w:r w:rsidR="00422FDE">
        <w:rPr>
          <w:rFonts w:ascii="Arial" w:hAnsi="Arial" w:cs="Arial"/>
          <w:sz w:val="24"/>
          <w:szCs w:val="24"/>
        </w:rPr>
        <w:t>έτοιοι μηχανισμοί ενδεικτικά αναφέρονται οι εξείς:</w:t>
      </w:r>
    </w:p>
    <w:p w:rsidR="00517CD5" w:rsidRDefault="00517CD5" w:rsidP="00422FDE">
      <w:pPr>
        <w:pStyle w:val="ListParagraph"/>
        <w:numPr>
          <w:ilvl w:val="0"/>
          <w:numId w:val="2"/>
        </w:numPr>
        <w:spacing w:line="240" w:lineRule="auto"/>
        <w:jc w:val="both"/>
        <w:rPr>
          <w:rFonts w:ascii="Arial" w:hAnsi="Arial" w:cs="Arial"/>
          <w:sz w:val="24"/>
          <w:szCs w:val="24"/>
        </w:rPr>
      </w:pPr>
      <w:r>
        <w:rPr>
          <w:rFonts w:ascii="Arial" w:hAnsi="Arial" w:cs="Arial"/>
          <w:sz w:val="24"/>
          <w:szCs w:val="24"/>
        </w:rPr>
        <w:t>Ο πολύ γρήγορος κυτταρικός πολλαπλασιασμός προκαλεί απόπτωση των μερικώς μεταλλαγέντων κυττάρων και ελάττωση της «κριτικής κυτταρικής μάζας» με κυτταρική μετάλλαξη, που είναι απαραίτητη για κακοήθη ανάπτυξη.</w:t>
      </w:r>
    </w:p>
    <w:p w:rsidR="00011E65" w:rsidRDefault="00517CD5" w:rsidP="00422FDE">
      <w:pPr>
        <w:pStyle w:val="ListParagraph"/>
        <w:numPr>
          <w:ilvl w:val="0"/>
          <w:numId w:val="2"/>
        </w:numPr>
        <w:spacing w:line="240" w:lineRule="auto"/>
        <w:jc w:val="both"/>
        <w:rPr>
          <w:rFonts w:ascii="Arial" w:hAnsi="Arial" w:cs="Arial"/>
          <w:sz w:val="24"/>
          <w:szCs w:val="24"/>
        </w:rPr>
      </w:pPr>
      <w:r>
        <w:rPr>
          <w:rFonts w:ascii="Arial" w:hAnsi="Arial" w:cs="Arial"/>
          <w:sz w:val="24"/>
          <w:szCs w:val="24"/>
        </w:rPr>
        <w:t>Η</w:t>
      </w:r>
      <w:r w:rsidRPr="00011E65">
        <w:rPr>
          <w:rFonts w:ascii="Arial" w:hAnsi="Arial" w:cs="Arial"/>
          <w:sz w:val="24"/>
          <w:szCs w:val="24"/>
        </w:rPr>
        <w:t xml:space="preserve"> </w:t>
      </w:r>
      <w:r>
        <w:rPr>
          <w:rFonts w:ascii="Arial" w:hAnsi="Arial" w:cs="Arial"/>
          <w:sz w:val="24"/>
          <w:szCs w:val="24"/>
        </w:rPr>
        <w:t>απουσία</w:t>
      </w:r>
      <w:r w:rsidRPr="00011E65">
        <w:rPr>
          <w:rFonts w:ascii="Arial" w:hAnsi="Arial" w:cs="Arial"/>
          <w:sz w:val="24"/>
          <w:szCs w:val="24"/>
        </w:rPr>
        <w:t xml:space="preserve"> </w:t>
      </w:r>
      <w:r>
        <w:rPr>
          <w:rFonts w:ascii="Arial" w:hAnsi="Arial" w:cs="Arial"/>
          <w:sz w:val="24"/>
          <w:szCs w:val="24"/>
        </w:rPr>
        <w:t>βακτηριδίων</w:t>
      </w:r>
      <w:r w:rsidRPr="00011E65">
        <w:rPr>
          <w:rFonts w:ascii="Arial" w:hAnsi="Arial" w:cs="Arial"/>
          <w:sz w:val="24"/>
          <w:szCs w:val="24"/>
        </w:rPr>
        <w:t>.</w:t>
      </w:r>
      <w:r>
        <w:rPr>
          <w:rFonts w:ascii="Arial" w:hAnsi="Arial" w:cs="Arial"/>
          <w:sz w:val="24"/>
          <w:szCs w:val="24"/>
        </w:rPr>
        <w:t xml:space="preserve"> Έχει διαπιστωθεί ότι ορισμένα καρκινογόνα </w:t>
      </w:r>
      <w:r w:rsidR="00011E65">
        <w:rPr>
          <w:rFonts w:ascii="Arial" w:hAnsi="Arial" w:cs="Arial"/>
          <w:sz w:val="24"/>
          <w:szCs w:val="24"/>
        </w:rPr>
        <w:t>προκαλούν ανάπτυξη καρκίνου παχέος εντέρου σε φυσιολογικά πειραματόζωα, αλλά όχι σε πειραματόζωα απαλλαγμένα βακτηριδίων.</w:t>
      </w:r>
      <w:r w:rsidR="00011E65">
        <w:rPr>
          <w:rFonts w:ascii="Arial" w:hAnsi="Arial" w:cs="Arial"/>
          <w:sz w:val="24"/>
          <w:szCs w:val="24"/>
          <w:vertAlign w:val="superscript"/>
        </w:rPr>
        <w:t>1</w:t>
      </w:r>
      <w:r w:rsidR="00011E65">
        <w:rPr>
          <w:rFonts w:ascii="Arial" w:hAnsi="Arial" w:cs="Arial"/>
          <w:sz w:val="24"/>
          <w:szCs w:val="24"/>
        </w:rPr>
        <w:t xml:space="preserve"> </w:t>
      </w:r>
    </w:p>
    <w:p w:rsidR="00011E65" w:rsidRDefault="00011E65" w:rsidP="00422FDE">
      <w:pPr>
        <w:pStyle w:val="ListParagraph"/>
        <w:numPr>
          <w:ilvl w:val="0"/>
          <w:numId w:val="2"/>
        </w:numPr>
        <w:spacing w:line="240" w:lineRule="auto"/>
        <w:jc w:val="both"/>
        <w:rPr>
          <w:rFonts w:ascii="Arial" w:hAnsi="Arial" w:cs="Arial"/>
          <w:sz w:val="24"/>
          <w:szCs w:val="24"/>
        </w:rPr>
      </w:pPr>
      <w:r>
        <w:rPr>
          <w:rFonts w:ascii="Arial" w:hAnsi="Arial" w:cs="Arial"/>
          <w:sz w:val="24"/>
          <w:szCs w:val="24"/>
        </w:rPr>
        <w:t>Η ταχεία διέλευση του περιεχομένου περιορίζει την έκθεση σε καρκινογόνα προϊόντα.</w:t>
      </w:r>
      <w:r>
        <w:rPr>
          <w:rFonts w:ascii="Arial" w:hAnsi="Arial" w:cs="Arial"/>
          <w:sz w:val="24"/>
          <w:szCs w:val="24"/>
          <w:vertAlign w:val="superscript"/>
        </w:rPr>
        <w:t>1</w:t>
      </w:r>
      <w:r>
        <w:rPr>
          <w:rFonts w:ascii="Arial" w:hAnsi="Arial" w:cs="Arial"/>
          <w:sz w:val="24"/>
          <w:szCs w:val="24"/>
        </w:rPr>
        <w:t xml:space="preserve"> </w:t>
      </w:r>
    </w:p>
    <w:p w:rsidR="00FB2F03" w:rsidRPr="000976FB" w:rsidRDefault="00011E65" w:rsidP="00422FDE">
      <w:pPr>
        <w:pStyle w:val="ListParagraph"/>
        <w:numPr>
          <w:ilvl w:val="0"/>
          <w:numId w:val="2"/>
        </w:numPr>
        <w:spacing w:line="240" w:lineRule="auto"/>
        <w:jc w:val="both"/>
        <w:rPr>
          <w:rFonts w:ascii="Arial" w:hAnsi="Arial" w:cs="Arial"/>
          <w:sz w:val="24"/>
          <w:szCs w:val="24"/>
        </w:rPr>
      </w:pPr>
      <w:r>
        <w:rPr>
          <w:rFonts w:ascii="Arial" w:hAnsi="Arial" w:cs="Arial"/>
          <w:sz w:val="24"/>
          <w:szCs w:val="24"/>
        </w:rPr>
        <w:t>Η υδαρής μορφή του περιεχομένου του λεπτού εντέρου ελαχιστοποιεί τον μηχανικό τραυματισμό και προστατεύει τον βλεννογόνο από τη δράση των καρκινογόνων.</w:t>
      </w:r>
      <w:r>
        <w:rPr>
          <w:rFonts w:ascii="Arial" w:hAnsi="Arial" w:cs="Arial"/>
          <w:sz w:val="24"/>
          <w:szCs w:val="24"/>
          <w:vertAlign w:val="superscript"/>
        </w:rPr>
        <w:t>2</w:t>
      </w:r>
      <w:r w:rsidR="00422FDE" w:rsidRPr="00011E65">
        <w:rPr>
          <w:rFonts w:ascii="Arial" w:hAnsi="Arial" w:cs="Arial"/>
          <w:sz w:val="24"/>
          <w:szCs w:val="24"/>
        </w:rPr>
        <w:t xml:space="preserve"> </w:t>
      </w:r>
    </w:p>
    <w:p w:rsidR="000976FB" w:rsidRDefault="000976FB" w:rsidP="00422FDE">
      <w:pPr>
        <w:pStyle w:val="ListParagraph"/>
        <w:numPr>
          <w:ilvl w:val="0"/>
          <w:numId w:val="2"/>
        </w:numPr>
        <w:spacing w:line="240" w:lineRule="auto"/>
        <w:jc w:val="both"/>
        <w:rPr>
          <w:rFonts w:ascii="Arial" w:hAnsi="Arial" w:cs="Arial"/>
          <w:sz w:val="24"/>
          <w:szCs w:val="24"/>
        </w:rPr>
      </w:pPr>
      <w:r>
        <w:rPr>
          <w:rFonts w:ascii="Arial" w:hAnsi="Arial" w:cs="Arial"/>
          <w:sz w:val="24"/>
          <w:szCs w:val="24"/>
        </w:rPr>
        <w:t>Το αλκαλικό pH του λεπτού εντέρου αναστέλει την παραγωγή νιτροζαμινών, οι οποίες μπορεί να είναι καρκινογόνες στο όξινο περιβάλλον του στομάχου.</w:t>
      </w:r>
      <w:r>
        <w:rPr>
          <w:rFonts w:ascii="Arial" w:hAnsi="Arial" w:cs="Arial"/>
          <w:sz w:val="24"/>
          <w:szCs w:val="24"/>
          <w:vertAlign w:val="superscript"/>
        </w:rPr>
        <w:t>2</w:t>
      </w:r>
      <w:r>
        <w:rPr>
          <w:rFonts w:ascii="Arial" w:hAnsi="Arial" w:cs="Arial"/>
          <w:sz w:val="24"/>
          <w:szCs w:val="24"/>
        </w:rPr>
        <w:t xml:space="preserve"> </w:t>
      </w:r>
    </w:p>
    <w:p w:rsidR="000976FB" w:rsidRPr="00E021C0" w:rsidRDefault="000976FB" w:rsidP="00422FDE">
      <w:pPr>
        <w:pStyle w:val="ListParagraph"/>
        <w:numPr>
          <w:ilvl w:val="0"/>
          <w:numId w:val="2"/>
        </w:numPr>
        <w:spacing w:line="240" w:lineRule="auto"/>
        <w:jc w:val="both"/>
        <w:rPr>
          <w:rFonts w:ascii="Arial" w:hAnsi="Arial" w:cs="Arial"/>
          <w:sz w:val="24"/>
          <w:szCs w:val="24"/>
        </w:rPr>
      </w:pPr>
      <w:r>
        <w:rPr>
          <w:rFonts w:ascii="Arial" w:hAnsi="Arial" w:cs="Arial"/>
          <w:sz w:val="24"/>
          <w:szCs w:val="24"/>
        </w:rPr>
        <w:t xml:space="preserve">Η επαρκής παρουσία ανοσοσφαιρίνης Α, η οποία αποτελεί διεγέρτη του ανοσοποιητικού συστήματος. Ασθενείς με ανεπάρκεια αυτής της ανοσοσφαιρίνης </w:t>
      </w:r>
      <w:r w:rsidR="00126E9A">
        <w:rPr>
          <w:rFonts w:ascii="Arial" w:hAnsi="Arial" w:cs="Arial"/>
          <w:sz w:val="24"/>
          <w:szCs w:val="24"/>
        </w:rPr>
        <w:t>έχουν μεγαλύτερο κίνδυνο ανάπτυξης καρκίνου του λεπτού εντέρου.</w:t>
      </w:r>
      <w:r w:rsidR="00126E9A">
        <w:rPr>
          <w:rFonts w:ascii="Arial" w:hAnsi="Arial" w:cs="Arial"/>
          <w:sz w:val="24"/>
          <w:szCs w:val="24"/>
          <w:vertAlign w:val="superscript"/>
        </w:rPr>
        <w:t>3</w:t>
      </w:r>
      <w:r w:rsidR="00E021C0" w:rsidRPr="00E021C0">
        <w:rPr>
          <w:rFonts w:ascii="Arial" w:hAnsi="Arial" w:cs="Arial"/>
          <w:sz w:val="24"/>
          <w:szCs w:val="24"/>
        </w:rPr>
        <w:t xml:space="preserve"> </w:t>
      </w:r>
    </w:p>
    <w:p w:rsidR="00E021C0" w:rsidRDefault="00E021C0" w:rsidP="00422FDE">
      <w:pPr>
        <w:pStyle w:val="ListParagraph"/>
        <w:numPr>
          <w:ilvl w:val="0"/>
          <w:numId w:val="2"/>
        </w:numPr>
        <w:spacing w:line="240" w:lineRule="auto"/>
        <w:jc w:val="both"/>
        <w:rPr>
          <w:rFonts w:ascii="Arial" w:hAnsi="Arial" w:cs="Arial"/>
          <w:sz w:val="24"/>
          <w:szCs w:val="24"/>
        </w:rPr>
      </w:pPr>
      <w:r>
        <w:rPr>
          <w:rFonts w:ascii="Arial" w:hAnsi="Arial" w:cs="Arial"/>
          <w:sz w:val="24"/>
          <w:szCs w:val="24"/>
        </w:rPr>
        <w:t xml:space="preserve">Τα βλαστοκύτταρα του λεπτού εντέρου κατοικούν βαθιά μέσα στις εντερικές κρύπτες και, έτσι, προστατεύονται από τη δράση των ενδοαυλικών </w:t>
      </w:r>
      <w:r w:rsidR="009B3403">
        <w:rPr>
          <w:rFonts w:ascii="Arial" w:hAnsi="Arial" w:cs="Arial"/>
          <w:sz w:val="24"/>
          <w:szCs w:val="24"/>
        </w:rPr>
        <w:t>καρκινογόνων.</w:t>
      </w:r>
      <w:r w:rsidR="009B3403">
        <w:rPr>
          <w:rFonts w:ascii="Arial" w:hAnsi="Arial" w:cs="Arial"/>
          <w:sz w:val="24"/>
          <w:szCs w:val="24"/>
          <w:vertAlign w:val="superscript"/>
        </w:rPr>
        <w:t>2</w:t>
      </w:r>
      <w:r w:rsidR="009B3403">
        <w:rPr>
          <w:rFonts w:ascii="Arial" w:hAnsi="Arial" w:cs="Arial"/>
          <w:sz w:val="24"/>
          <w:szCs w:val="24"/>
        </w:rPr>
        <w:t xml:space="preserve"> </w:t>
      </w:r>
    </w:p>
    <w:p w:rsidR="009B3403" w:rsidRDefault="009B3403" w:rsidP="00422FDE">
      <w:pPr>
        <w:pStyle w:val="ListParagraph"/>
        <w:numPr>
          <w:ilvl w:val="0"/>
          <w:numId w:val="2"/>
        </w:numPr>
        <w:spacing w:line="240" w:lineRule="auto"/>
        <w:jc w:val="both"/>
        <w:rPr>
          <w:rFonts w:ascii="Arial" w:hAnsi="Arial" w:cs="Arial"/>
          <w:sz w:val="24"/>
          <w:szCs w:val="24"/>
        </w:rPr>
      </w:pPr>
      <w:r>
        <w:rPr>
          <w:rFonts w:ascii="Arial" w:hAnsi="Arial" w:cs="Arial"/>
          <w:sz w:val="24"/>
          <w:szCs w:val="24"/>
        </w:rPr>
        <w:t>Η παρουσία υδατοδιαλυτών στοιχείων</w:t>
      </w:r>
      <w:r>
        <w:rPr>
          <w:rFonts w:ascii="Arial" w:hAnsi="Arial" w:cs="Arial"/>
          <w:sz w:val="24"/>
          <w:szCs w:val="24"/>
          <w:vertAlign w:val="superscript"/>
        </w:rPr>
        <w:t xml:space="preserve"> </w:t>
      </w:r>
      <w:r>
        <w:rPr>
          <w:rFonts w:ascii="Arial" w:hAnsi="Arial" w:cs="Arial"/>
          <w:sz w:val="24"/>
          <w:szCs w:val="24"/>
        </w:rPr>
        <w:t>αναστολέων της καρκινογένεσης.</w:t>
      </w:r>
      <w:r w:rsidR="00312583">
        <w:rPr>
          <w:rFonts w:ascii="Arial" w:hAnsi="Arial" w:cs="Arial"/>
          <w:sz w:val="24"/>
          <w:szCs w:val="24"/>
          <w:vertAlign w:val="superscript"/>
        </w:rPr>
        <w:t>4</w:t>
      </w:r>
      <w:r w:rsidR="00312583">
        <w:rPr>
          <w:rFonts w:ascii="Arial" w:hAnsi="Arial" w:cs="Arial"/>
          <w:sz w:val="24"/>
          <w:szCs w:val="24"/>
        </w:rPr>
        <w:t xml:space="preserve"> </w:t>
      </w:r>
    </w:p>
    <w:p w:rsidR="00312583" w:rsidRDefault="00312583" w:rsidP="00422FDE">
      <w:pPr>
        <w:pStyle w:val="ListParagraph"/>
        <w:numPr>
          <w:ilvl w:val="0"/>
          <w:numId w:val="2"/>
        </w:numPr>
        <w:spacing w:line="240" w:lineRule="auto"/>
        <w:jc w:val="both"/>
        <w:rPr>
          <w:rFonts w:ascii="Arial" w:hAnsi="Arial" w:cs="Arial"/>
          <w:sz w:val="24"/>
          <w:szCs w:val="24"/>
        </w:rPr>
      </w:pPr>
      <w:r>
        <w:rPr>
          <w:rFonts w:ascii="Arial" w:hAnsi="Arial" w:cs="Arial"/>
          <w:sz w:val="24"/>
          <w:szCs w:val="24"/>
        </w:rPr>
        <w:t>Η άφθονη παρουσία στο λεπτό έντερο του μικροσωμιακού ενζύμου υδρολάση του βενζοπυρενίου</w:t>
      </w:r>
      <w:r w:rsidR="00255BE1">
        <w:rPr>
          <w:rFonts w:ascii="Arial" w:hAnsi="Arial" w:cs="Arial"/>
          <w:sz w:val="24"/>
          <w:szCs w:val="24"/>
        </w:rPr>
        <w:t>, το οποίο μετατρέπει το καρκινογόνο βενζοπυρένιο σε λιγότερο δραστικό στοιχείο.</w:t>
      </w:r>
      <w:r w:rsidR="00255BE1">
        <w:rPr>
          <w:rFonts w:ascii="Arial" w:hAnsi="Arial" w:cs="Arial"/>
          <w:sz w:val="24"/>
          <w:szCs w:val="24"/>
          <w:vertAlign w:val="superscript"/>
        </w:rPr>
        <w:t>1</w:t>
      </w:r>
      <w:r w:rsidR="00255BE1">
        <w:rPr>
          <w:rFonts w:ascii="Arial" w:hAnsi="Arial" w:cs="Arial"/>
          <w:sz w:val="24"/>
          <w:szCs w:val="24"/>
        </w:rPr>
        <w:t xml:space="preserve">  </w:t>
      </w:r>
    </w:p>
    <w:p w:rsidR="00261DEE" w:rsidRPr="0050457B" w:rsidRDefault="00261DEE" w:rsidP="00261DEE">
      <w:pPr>
        <w:spacing w:line="240" w:lineRule="auto"/>
        <w:ind w:firstLine="720"/>
        <w:jc w:val="both"/>
        <w:rPr>
          <w:rFonts w:ascii="Arial" w:hAnsi="Arial" w:cs="Arial"/>
          <w:sz w:val="24"/>
          <w:szCs w:val="24"/>
          <w:vertAlign w:val="superscript"/>
        </w:rPr>
      </w:pPr>
      <w:r>
        <w:rPr>
          <w:rFonts w:ascii="Arial" w:hAnsi="Arial" w:cs="Arial"/>
          <w:sz w:val="24"/>
          <w:szCs w:val="24"/>
        </w:rPr>
        <w:lastRenderedPageBreak/>
        <w:t>Μεγάλη δυσκολία στη μελέτη των κακοήθων νεοπλασμάτων του λεπτού εντέρου αποτελεί το γεγονός της σπάνιας εμφάνισής τους</w:t>
      </w:r>
      <w:r w:rsidR="00E91CFA" w:rsidRPr="00E91CFA">
        <w:rPr>
          <w:rFonts w:ascii="Arial" w:hAnsi="Arial" w:cs="Arial"/>
          <w:sz w:val="24"/>
          <w:szCs w:val="24"/>
        </w:rPr>
        <w:t>,</w:t>
      </w:r>
      <w:r>
        <w:rPr>
          <w:rFonts w:ascii="Arial" w:hAnsi="Arial" w:cs="Arial"/>
          <w:sz w:val="24"/>
          <w:szCs w:val="24"/>
        </w:rPr>
        <w:t xml:space="preserve"> με αποτέλεσμα κανένα κέντρο να μην έχει μεγάλο αριθμό ασθενών και, ως εκ τούτου, να απο</w:t>
      </w:r>
      <w:r w:rsidR="004712B7">
        <w:rPr>
          <w:rFonts w:ascii="Arial" w:hAnsi="Arial" w:cs="Arial"/>
          <w:sz w:val="24"/>
          <w:szCs w:val="24"/>
        </w:rPr>
        <w:t>υ</w:t>
      </w:r>
      <w:r>
        <w:rPr>
          <w:rFonts w:ascii="Arial" w:hAnsi="Arial" w:cs="Arial"/>
          <w:sz w:val="24"/>
          <w:szCs w:val="24"/>
        </w:rPr>
        <w:t>σιάζουν προοπτικές μελέτες.</w:t>
      </w:r>
      <w:r w:rsidR="0090033C">
        <w:rPr>
          <w:rFonts w:ascii="Arial" w:hAnsi="Arial" w:cs="Arial"/>
          <w:sz w:val="24"/>
          <w:szCs w:val="24"/>
        </w:rPr>
        <w:t xml:space="preserve"> Ενδεικτικά αναφέρεται ότι η συνολική εμπειρία του </w:t>
      </w:r>
      <w:r w:rsidR="0090033C">
        <w:rPr>
          <w:rFonts w:ascii="Arial" w:hAnsi="Arial" w:cs="Arial"/>
          <w:sz w:val="24"/>
          <w:szCs w:val="24"/>
          <w:lang w:val="en-US"/>
        </w:rPr>
        <w:t>Roswell</w:t>
      </w:r>
      <w:r w:rsidR="0090033C" w:rsidRPr="0090033C">
        <w:rPr>
          <w:rFonts w:ascii="Arial" w:hAnsi="Arial" w:cs="Arial"/>
          <w:sz w:val="24"/>
          <w:szCs w:val="24"/>
        </w:rPr>
        <w:t xml:space="preserve"> </w:t>
      </w:r>
      <w:r w:rsidR="0090033C">
        <w:rPr>
          <w:rFonts w:ascii="Arial" w:hAnsi="Arial" w:cs="Arial"/>
          <w:sz w:val="24"/>
          <w:szCs w:val="24"/>
          <w:lang w:val="en-US"/>
        </w:rPr>
        <w:t>Park</w:t>
      </w:r>
      <w:r w:rsidR="0090033C" w:rsidRPr="0090033C">
        <w:rPr>
          <w:rFonts w:ascii="Arial" w:hAnsi="Arial" w:cs="Arial"/>
          <w:sz w:val="24"/>
          <w:szCs w:val="24"/>
        </w:rPr>
        <w:t xml:space="preserve"> </w:t>
      </w:r>
      <w:r w:rsidR="0090033C">
        <w:rPr>
          <w:rFonts w:ascii="Arial" w:hAnsi="Arial" w:cs="Arial"/>
          <w:sz w:val="24"/>
          <w:szCs w:val="24"/>
          <w:lang w:val="en-US"/>
        </w:rPr>
        <w:t>Institute</w:t>
      </w:r>
      <w:r w:rsidR="00DD46E6">
        <w:rPr>
          <w:rFonts w:ascii="Arial" w:hAnsi="Arial" w:cs="Arial"/>
          <w:sz w:val="24"/>
          <w:szCs w:val="24"/>
          <w:vertAlign w:val="superscript"/>
        </w:rPr>
        <w:t>5</w:t>
      </w:r>
      <w:r w:rsidR="0090033C">
        <w:rPr>
          <w:rFonts w:ascii="Arial" w:hAnsi="Arial" w:cs="Arial"/>
          <w:sz w:val="24"/>
          <w:szCs w:val="24"/>
        </w:rPr>
        <w:t xml:space="preserve"> και του</w:t>
      </w:r>
      <w:r w:rsidR="0090033C" w:rsidRPr="0090033C">
        <w:rPr>
          <w:rFonts w:ascii="Arial" w:hAnsi="Arial" w:cs="Arial"/>
          <w:sz w:val="24"/>
          <w:szCs w:val="24"/>
        </w:rPr>
        <w:t xml:space="preserve"> </w:t>
      </w:r>
      <w:r w:rsidR="0090033C">
        <w:rPr>
          <w:rFonts w:ascii="Arial" w:hAnsi="Arial" w:cs="Arial"/>
          <w:sz w:val="24"/>
          <w:szCs w:val="24"/>
          <w:lang w:val="en-US"/>
        </w:rPr>
        <w:t>Massachusetts</w:t>
      </w:r>
      <w:r w:rsidR="0090033C" w:rsidRPr="0090033C">
        <w:rPr>
          <w:rFonts w:ascii="Arial" w:hAnsi="Arial" w:cs="Arial"/>
          <w:sz w:val="24"/>
          <w:szCs w:val="24"/>
        </w:rPr>
        <w:t xml:space="preserve"> </w:t>
      </w:r>
      <w:r w:rsidR="0090033C">
        <w:rPr>
          <w:rFonts w:ascii="Arial" w:hAnsi="Arial" w:cs="Arial"/>
          <w:sz w:val="24"/>
          <w:szCs w:val="24"/>
          <w:lang w:val="en-US"/>
        </w:rPr>
        <w:t>General</w:t>
      </w:r>
      <w:r w:rsidR="0090033C" w:rsidRPr="0090033C">
        <w:rPr>
          <w:rFonts w:ascii="Arial" w:hAnsi="Arial" w:cs="Arial"/>
          <w:sz w:val="24"/>
          <w:szCs w:val="24"/>
        </w:rPr>
        <w:t xml:space="preserve"> </w:t>
      </w:r>
      <w:r w:rsidR="0090033C">
        <w:rPr>
          <w:rFonts w:ascii="Arial" w:hAnsi="Arial" w:cs="Arial"/>
          <w:sz w:val="24"/>
          <w:szCs w:val="24"/>
          <w:lang w:val="en-US"/>
        </w:rPr>
        <w:t>Hospital</w:t>
      </w:r>
      <w:r w:rsidR="00DD46E6">
        <w:rPr>
          <w:rFonts w:ascii="Arial" w:hAnsi="Arial" w:cs="Arial"/>
          <w:sz w:val="24"/>
          <w:szCs w:val="24"/>
          <w:vertAlign w:val="superscript"/>
        </w:rPr>
        <w:t>6</w:t>
      </w:r>
      <w:r w:rsidR="0090033C">
        <w:rPr>
          <w:rFonts w:ascii="Arial" w:hAnsi="Arial" w:cs="Arial"/>
          <w:sz w:val="24"/>
          <w:szCs w:val="24"/>
        </w:rPr>
        <w:t xml:space="preserve"> ήταν 67 και 86 ασθενείς </w:t>
      </w:r>
      <w:r w:rsidR="00DD46E6">
        <w:rPr>
          <w:rFonts w:ascii="Arial" w:hAnsi="Arial" w:cs="Arial"/>
          <w:sz w:val="24"/>
          <w:szCs w:val="24"/>
        </w:rPr>
        <w:t>αντίστοιχα σε μια περίοδο 45 ετών.</w:t>
      </w:r>
      <w:r w:rsidR="00F145A4" w:rsidRPr="00F145A4">
        <w:rPr>
          <w:rFonts w:ascii="Arial" w:hAnsi="Arial" w:cs="Arial"/>
          <w:sz w:val="24"/>
          <w:szCs w:val="24"/>
        </w:rPr>
        <w:t xml:space="preserve"> </w:t>
      </w:r>
      <w:r w:rsidR="00BF3DE8">
        <w:rPr>
          <w:rFonts w:ascii="Arial" w:hAnsi="Arial" w:cs="Arial"/>
          <w:sz w:val="24"/>
          <w:szCs w:val="24"/>
        </w:rPr>
        <w:t>Αυτό έχει ως αποτέλεσμα να εμφανίζονται διαφορές στην επίπτωση και στην κατανομή των διαφόρων ιστολογικών τύπων των κακοήθων ν</w:t>
      </w:r>
      <w:r w:rsidR="00EE2B60">
        <w:rPr>
          <w:rFonts w:ascii="Arial" w:hAnsi="Arial" w:cs="Arial"/>
          <w:sz w:val="24"/>
          <w:szCs w:val="24"/>
        </w:rPr>
        <w:t>εοπλασμάτων του λεπτού εντέρου, οι κυριότεροι των οποίων είναι: το αδενοκαρκίνωμα, το καρκινοειδές, τα σαρκώματα και τα λεμφώματα.</w:t>
      </w:r>
      <w:r w:rsidR="000D18BC" w:rsidRPr="000D18BC">
        <w:rPr>
          <w:rFonts w:ascii="Arial" w:hAnsi="Arial" w:cs="Arial"/>
          <w:sz w:val="24"/>
          <w:szCs w:val="24"/>
        </w:rPr>
        <w:t xml:space="preserve"> Η</w:t>
      </w:r>
      <w:r w:rsidR="000D18BC">
        <w:rPr>
          <w:rFonts w:ascii="Arial" w:hAnsi="Arial" w:cs="Arial"/>
          <w:sz w:val="24"/>
          <w:szCs w:val="24"/>
        </w:rPr>
        <w:t xml:space="preserve"> μεγαλύτερη  σειρά ασθενών με κακοήθη νεοπλάσματα του λεπτού εντέρου, σε μια περίοδο 30 ετών, αναφέρεται από τις Clinics of the Saskatchewan Cancer Foundation και αφορά </w:t>
      </w:r>
      <w:r w:rsidR="000641E1">
        <w:rPr>
          <w:rFonts w:ascii="Arial" w:hAnsi="Arial" w:cs="Arial"/>
          <w:sz w:val="24"/>
          <w:szCs w:val="24"/>
        </w:rPr>
        <w:t>την εμπειρία των Cancer Center for Florida, University of Miami και Jackson Memorial Medical Center of Miami Florida, οποία περιγράφεται στους κάτωθι πίνακες.</w:t>
      </w:r>
      <w:r w:rsidR="0050457B">
        <w:rPr>
          <w:rFonts w:ascii="Arial" w:hAnsi="Arial" w:cs="Arial"/>
          <w:sz w:val="24"/>
          <w:szCs w:val="24"/>
          <w:vertAlign w:val="superscript"/>
        </w:rPr>
        <w:t>7</w:t>
      </w:r>
    </w:p>
    <w:p w:rsidR="005770B9" w:rsidRDefault="00BD0B55" w:rsidP="005770B9">
      <w:pPr>
        <w:pBdr>
          <w:between w:val="single" w:sz="4" w:space="1" w:color="auto"/>
        </w:pBdr>
        <w:spacing w:line="240" w:lineRule="auto"/>
        <w:ind w:firstLine="720"/>
        <w:jc w:val="both"/>
        <w:rPr>
          <w:rFonts w:ascii="Arial" w:hAnsi="Arial" w:cs="Arial"/>
          <w:b/>
          <w:sz w:val="24"/>
          <w:szCs w:val="24"/>
        </w:rPr>
      </w:pPr>
      <w:r>
        <w:rPr>
          <w:rFonts w:ascii="Arial" w:hAnsi="Arial" w:cs="Arial"/>
          <w:b/>
          <w:sz w:val="24"/>
          <w:szCs w:val="24"/>
        </w:rPr>
        <w:t>Πίνακας 1. Καρκίνοι του Γαστρεντερικού</w:t>
      </w:r>
    </w:p>
    <w:p w:rsidR="005770B9" w:rsidRDefault="005770B9" w:rsidP="005770B9">
      <w:pPr>
        <w:pBdr>
          <w:between w:val="single" w:sz="4" w:space="1" w:color="auto"/>
        </w:pBdr>
        <w:spacing w:line="240" w:lineRule="auto"/>
        <w:ind w:firstLine="720"/>
        <w:jc w:val="both"/>
        <w:rPr>
          <w:rFonts w:ascii="Arial" w:hAnsi="Arial" w:cs="Arial"/>
          <w:b/>
          <w:sz w:val="24"/>
          <w:szCs w:val="24"/>
        </w:rPr>
      </w:pPr>
    </w:p>
    <w:p w:rsidR="005770B9" w:rsidRDefault="005770B9" w:rsidP="005770B9">
      <w:pPr>
        <w:spacing w:line="240" w:lineRule="auto"/>
        <w:ind w:left="3600" w:firstLine="720"/>
        <w:jc w:val="both"/>
        <w:rPr>
          <w:rFonts w:ascii="Arial" w:hAnsi="Arial" w:cs="Arial"/>
          <w:sz w:val="24"/>
          <w:szCs w:val="24"/>
        </w:rPr>
      </w:pPr>
      <w:r>
        <w:rPr>
          <w:rFonts w:ascii="Arial" w:hAnsi="Arial" w:cs="Arial"/>
          <w:sz w:val="24"/>
          <w:szCs w:val="24"/>
        </w:rPr>
        <w:t>Αριθμός ασθενών (%)</w:t>
      </w:r>
    </w:p>
    <w:p w:rsidR="005770B9" w:rsidRDefault="009E7819" w:rsidP="005770B9">
      <w:pPr>
        <w:spacing w:line="240" w:lineRule="auto"/>
        <w:jc w:val="both"/>
        <w:rPr>
          <w:rFonts w:ascii="Arial" w:hAnsi="Arial" w:cs="Arial"/>
          <w:sz w:val="24"/>
          <w:szCs w:val="24"/>
        </w:rPr>
      </w:pPr>
      <w:r w:rsidRPr="009E7819">
        <w:rPr>
          <w:rFonts w:ascii="Arial" w:hAnsi="Arial" w:cs="Arial"/>
          <w:sz w:val="24"/>
          <w:szCs w:val="24"/>
        </w:rPr>
        <w:pict>
          <v:rect id="_x0000_i1025" style="width:0;height:1.5pt" o:hralign="center" o:hrstd="t" o:hr="t" fillcolor="#a0a0a0" stroked="f"/>
        </w:pict>
      </w:r>
    </w:p>
    <w:p w:rsidR="00A40F6A" w:rsidRDefault="00EE2B60" w:rsidP="00A40F6A">
      <w:pPr>
        <w:spacing w:line="240" w:lineRule="auto"/>
        <w:ind w:firstLine="720"/>
        <w:jc w:val="both"/>
        <w:rPr>
          <w:rFonts w:ascii="Arial" w:hAnsi="Arial" w:cs="Arial"/>
          <w:sz w:val="24"/>
          <w:szCs w:val="24"/>
        </w:rPr>
      </w:pPr>
      <w:r>
        <w:rPr>
          <w:rFonts w:ascii="Arial" w:hAnsi="Arial" w:cs="Arial"/>
          <w:sz w:val="24"/>
          <w:szCs w:val="24"/>
        </w:rPr>
        <w:t>Όλες οι θέσεις</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13.162 (100.0)</w:t>
      </w:r>
    </w:p>
    <w:p w:rsidR="00EE2B60" w:rsidRDefault="00EE2B60" w:rsidP="00A40F6A">
      <w:pPr>
        <w:spacing w:line="240" w:lineRule="auto"/>
        <w:ind w:firstLine="720"/>
        <w:jc w:val="both"/>
        <w:rPr>
          <w:rFonts w:ascii="Arial" w:hAnsi="Arial" w:cs="Arial"/>
          <w:sz w:val="24"/>
          <w:szCs w:val="24"/>
        </w:rPr>
      </w:pPr>
      <w:r>
        <w:rPr>
          <w:rFonts w:ascii="Arial" w:hAnsi="Arial" w:cs="Arial"/>
          <w:sz w:val="24"/>
          <w:szCs w:val="24"/>
        </w:rPr>
        <w:t>Στόμαχος</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4.109 (31,2)</w:t>
      </w:r>
    </w:p>
    <w:p w:rsidR="00EE2B60" w:rsidRDefault="00EE2B60" w:rsidP="00EE2B60">
      <w:pPr>
        <w:spacing w:line="240" w:lineRule="auto"/>
        <w:ind w:firstLine="720"/>
        <w:jc w:val="both"/>
        <w:rPr>
          <w:rFonts w:ascii="Arial" w:hAnsi="Arial" w:cs="Arial"/>
          <w:sz w:val="24"/>
          <w:szCs w:val="24"/>
        </w:rPr>
      </w:pPr>
      <w:r>
        <w:rPr>
          <w:rFonts w:ascii="Arial" w:hAnsi="Arial" w:cs="Arial"/>
          <w:sz w:val="24"/>
          <w:szCs w:val="24"/>
        </w:rPr>
        <w:t>Λεπτό έντερο</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209 (1,6)</w:t>
      </w:r>
    </w:p>
    <w:p w:rsidR="00EE2B60" w:rsidRDefault="00EE2B60" w:rsidP="00EE2B60">
      <w:pPr>
        <w:spacing w:line="240" w:lineRule="auto"/>
        <w:ind w:firstLine="720"/>
        <w:jc w:val="both"/>
        <w:rPr>
          <w:rFonts w:ascii="Arial" w:hAnsi="Arial" w:cs="Arial"/>
          <w:sz w:val="24"/>
          <w:szCs w:val="24"/>
        </w:rPr>
      </w:pPr>
      <w:r>
        <w:rPr>
          <w:rFonts w:ascii="Arial" w:hAnsi="Arial" w:cs="Arial"/>
          <w:sz w:val="24"/>
          <w:szCs w:val="24"/>
        </w:rPr>
        <w:t>Παχύ έντερο</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5.441 (41,3)</w:t>
      </w:r>
    </w:p>
    <w:p w:rsidR="00EE2B60" w:rsidRDefault="00EE2B60" w:rsidP="00EE2B60">
      <w:pPr>
        <w:spacing w:line="240" w:lineRule="auto"/>
        <w:ind w:firstLine="720"/>
        <w:jc w:val="both"/>
        <w:rPr>
          <w:rFonts w:ascii="Arial" w:hAnsi="Arial" w:cs="Arial"/>
          <w:sz w:val="24"/>
          <w:szCs w:val="24"/>
        </w:rPr>
      </w:pPr>
      <w:r>
        <w:rPr>
          <w:rFonts w:ascii="Arial" w:hAnsi="Arial" w:cs="Arial"/>
          <w:sz w:val="24"/>
          <w:szCs w:val="24"/>
        </w:rPr>
        <w:t>Ορθό</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3.403 (25,9)</w:t>
      </w:r>
    </w:p>
    <w:p w:rsidR="00EE2B60" w:rsidRDefault="009E7819" w:rsidP="00EE2B60">
      <w:pPr>
        <w:spacing w:line="240" w:lineRule="auto"/>
        <w:jc w:val="both"/>
        <w:rPr>
          <w:rFonts w:ascii="Arial" w:hAnsi="Arial" w:cs="Arial"/>
          <w:sz w:val="24"/>
          <w:szCs w:val="24"/>
        </w:rPr>
      </w:pPr>
      <w:r w:rsidRPr="009E7819">
        <w:rPr>
          <w:rFonts w:ascii="Arial" w:hAnsi="Arial" w:cs="Arial"/>
          <w:sz w:val="24"/>
          <w:szCs w:val="24"/>
        </w:rPr>
        <w:pict>
          <v:rect id="_x0000_i1026" style="width:0;height:1.5pt" o:hralign="center" o:hrstd="t" o:hr="t" fillcolor="#a0a0a0" stroked="f"/>
        </w:pict>
      </w:r>
    </w:p>
    <w:p w:rsidR="00EE2B60" w:rsidRDefault="00EE2B60" w:rsidP="005770B9">
      <w:pPr>
        <w:spacing w:line="240" w:lineRule="auto"/>
        <w:ind w:firstLine="720"/>
        <w:jc w:val="both"/>
        <w:rPr>
          <w:rFonts w:ascii="Arial" w:hAnsi="Arial" w:cs="Arial"/>
          <w:sz w:val="24"/>
          <w:szCs w:val="24"/>
        </w:rPr>
      </w:pPr>
    </w:p>
    <w:p w:rsidR="00A40F6A" w:rsidRDefault="006C1D2C" w:rsidP="00A40F6A">
      <w:pPr>
        <w:spacing w:line="240" w:lineRule="auto"/>
        <w:jc w:val="both"/>
        <w:rPr>
          <w:rFonts w:ascii="Arial" w:hAnsi="Arial" w:cs="Arial"/>
          <w:b/>
          <w:sz w:val="24"/>
          <w:szCs w:val="24"/>
        </w:rPr>
      </w:pPr>
      <w:r>
        <w:rPr>
          <w:rFonts w:ascii="Arial" w:hAnsi="Arial" w:cs="Arial"/>
          <w:b/>
          <w:sz w:val="24"/>
          <w:szCs w:val="24"/>
        </w:rPr>
        <w:t>Πίνακας 2. Επίπτωση</w:t>
      </w:r>
      <w:r w:rsidR="00EE2B60">
        <w:rPr>
          <w:rFonts w:ascii="Arial" w:hAnsi="Arial" w:cs="Arial"/>
          <w:b/>
          <w:sz w:val="24"/>
          <w:szCs w:val="24"/>
        </w:rPr>
        <w:t xml:space="preserve"> ιστολογικών τύπων</w:t>
      </w:r>
      <w:r w:rsidR="006B6A5F">
        <w:rPr>
          <w:rFonts w:ascii="Arial" w:hAnsi="Arial" w:cs="Arial"/>
          <w:b/>
          <w:sz w:val="24"/>
          <w:szCs w:val="24"/>
        </w:rPr>
        <w:t xml:space="preserve"> κακοήθων όγκων του </w:t>
      </w:r>
      <w:r w:rsidR="00A40F6A">
        <w:rPr>
          <w:rFonts w:ascii="Arial" w:hAnsi="Arial" w:cs="Arial"/>
          <w:b/>
          <w:sz w:val="24"/>
          <w:szCs w:val="24"/>
        </w:rPr>
        <w:t>λεπτού</w:t>
      </w:r>
    </w:p>
    <w:p w:rsidR="00A40F6A" w:rsidRDefault="00A40F6A" w:rsidP="00A40F6A">
      <w:pPr>
        <w:spacing w:line="240" w:lineRule="auto"/>
        <w:jc w:val="both"/>
        <w:rPr>
          <w:rFonts w:ascii="Arial" w:hAnsi="Arial" w:cs="Arial"/>
          <w:b/>
          <w:sz w:val="24"/>
          <w:szCs w:val="24"/>
        </w:rPr>
      </w:pPr>
      <w:r>
        <w:rPr>
          <w:rFonts w:ascii="Arial" w:hAnsi="Arial" w:cs="Arial"/>
          <w:sz w:val="24"/>
          <w:szCs w:val="24"/>
        </w:rPr>
        <w:tab/>
        <w:t xml:space="preserve">        </w:t>
      </w:r>
      <w:r>
        <w:rPr>
          <w:rFonts w:ascii="Arial" w:hAnsi="Arial" w:cs="Arial"/>
          <w:b/>
          <w:sz w:val="24"/>
          <w:szCs w:val="24"/>
        </w:rPr>
        <w:t>εντέρου</w:t>
      </w:r>
    </w:p>
    <w:p w:rsidR="006B6A5F" w:rsidRPr="00A40F6A" w:rsidRDefault="009E7819" w:rsidP="00A40F6A">
      <w:pPr>
        <w:spacing w:line="240" w:lineRule="auto"/>
        <w:jc w:val="both"/>
        <w:rPr>
          <w:rFonts w:ascii="Arial" w:hAnsi="Arial" w:cs="Arial"/>
          <w:b/>
          <w:sz w:val="24"/>
          <w:szCs w:val="24"/>
        </w:rPr>
      </w:pPr>
      <w:r w:rsidRPr="009E7819">
        <w:rPr>
          <w:rFonts w:ascii="Arial" w:hAnsi="Arial" w:cs="Arial"/>
          <w:sz w:val="24"/>
          <w:szCs w:val="24"/>
        </w:rPr>
        <w:pict>
          <v:rect id="_x0000_i1027" style="width:0;height:1.5pt" o:hralign="center" o:hrstd="t" o:hr="t" fillcolor="#a0a0a0" stroked="f"/>
        </w:pict>
      </w:r>
    </w:p>
    <w:p w:rsidR="006B6A5F" w:rsidRDefault="00A40F6A" w:rsidP="00A40F6A">
      <w:pPr>
        <w:spacing w:line="240" w:lineRule="auto"/>
        <w:ind w:firstLine="720"/>
        <w:jc w:val="both"/>
        <w:rPr>
          <w:rFonts w:ascii="Arial" w:hAnsi="Arial" w:cs="Arial"/>
          <w:sz w:val="24"/>
          <w:szCs w:val="24"/>
        </w:rPr>
      </w:pPr>
      <w:r>
        <w:rPr>
          <w:rFonts w:ascii="Arial" w:hAnsi="Arial" w:cs="Arial"/>
          <w:sz w:val="24"/>
          <w:szCs w:val="24"/>
        </w:rPr>
        <w:t>Καρκινοειδές</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45,0%</w:t>
      </w:r>
    </w:p>
    <w:p w:rsidR="00A40F6A" w:rsidRDefault="00A40F6A" w:rsidP="00A40F6A">
      <w:pPr>
        <w:spacing w:line="240" w:lineRule="auto"/>
        <w:ind w:firstLine="720"/>
        <w:jc w:val="both"/>
        <w:rPr>
          <w:rFonts w:ascii="Arial" w:hAnsi="Arial" w:cs="Arial"/>
          <w:sz w:val="24"/>
          <w:szCs w:val="24"/>
        </w:rPr>
      </w:pPr>
      <w:r>
        <w:rPr>
          <w:rFonts w:ascii="Arial" w:hAnsi="Arial" w:cs="Arial"/>
          <w:sz w:val="24"/>
          <w:szCs w:val="24"/>
        </w:rPr>
        <w:t>Αδενοκαρκίνωμα</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35,4 %</w:t>
      </w:r>
    </w:p>
    <w:p w:rsidR="00A40F6A" w:rsidRDefault="00A40F6A" w:rsidP="00A40F6A">
      <w:pPr>
        <w:spacing w:line="240" w:lineRule="auto"/>
        <w:ind w:firstLine="720"/>
        <w:jc w:val="both"/>
        <w:rPr>
          <w:rFonts w:ascii="Arial" w:hAnsi="Arial" w:cs="Arial"/>
          <w:sz w:val="24"/>
          <w:szCs w:val="24"/>
        </w:rPr>
      </w:pPr>
      <w:r>
        <w:rPr>
          <w:rFonts w:ascii="Arial" w:hAnsi="Arial" w:cs="Arial"/>
          <w:sz w:val="24"/>
          <w:szCs w:val="24"/>
        </w:rPr>
        <w:t>Λειομυοσάρκωμα</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9,1%</w:t>
      </w:r>
    </w:p>
    <w:p w:rsidR="00A40F6A" w:rsidRDefault="00A40F6A" w:rsidP="00A40F6A">
      <w:pPr>
        <w:spacing w:line="240" w:lineRule="auto"/>
        <w:ind w:firstLine="720"/>
        <w:jc w:val="both"/>
        <w:rPr>
          <w:rFonts w:ascii="Arial" w:hAnsi="Arial" w:cs="Arial"/>
          <w:sz w:val="24"/>
          <w:szCs w:val="24"/>
        </w:rPr>
      </w:pPr>
      <w:r>
        <w:rPr>
          <w:rFonts w:ascii="Arial" w:hAnsi="Arial" w:cs="Arial"/>
          <w:sz w:val="24"/>
          <w:szCs w:val="24"/>
        </w:rPr>
        <w:t>Λεμφώματα &amp; άλλοι τύποι σαρκωμάτων</w:t>
      </w:r>
      <w:r>
        <w:rPr>
          <w:rFonts w:ascii="Arial" w:hAnsi="Arial" w:cs="Arial"/>
          <w:sz w:val="24"/>
          <w:szCs w:val="24"/>
        </w:rPr>
        <w:tab/>
      </w:r>
      <w:r>
        <w:rPr>
          <w:rFonts w:ascii="Arial" w:hAnsi="Arial" w:cs="Arial"/>
          <w:sz w:val="24"/>
          <w:szCs w:val="24"/>
        </w:rPr>
        <w:tab/>
        <w:t>10,5%</w:t>
      </w:r>
    </w:p>
    <w:p w:rsidR="00A40F6A" w:rsidRPr="00A40F6A" w:rsidRDefault="009E7819" w:rsidP="00A40F6A">
      <w:pPr>
        <w:spacing w:line="240" w:lineRule="auto"/>
        <w:jc w:val="both"/>
        <w:rPr>
          <w:rFonts w:ascii="Arial" w:hAnsi="Arial" w:cs="Arial"/>
          <w:sz w:val="24"/>
          <w:szCs w:val="24"/>
        </w:rPr>
      </w:pPr>
      <w:r w:rsidRPr="009E7819">
        <w:rPr>
          <w:rFonts w:ascii="Arial" w:hAnsi="Arial" w:cs="Arial"/>
          <w:sz w:val="24"/>
          <w:szCs w:val="24"/>
        </w:rPr>
        <w:pict>
          <v:rect id="_x0000_i1028" style="width:0;height:1.5pt" o:hralign="center" o:hrstd="t" o:hr="t" fillcolor="#a0a0a0" stroked="f"/>
        </w:pict>
      </w:r>
    </w:p>
    <w:p w:rsidR="00AF6968" w:rsidRDefault="00AF6968" w:rsidP="00AF6968">
      <w:pPr>
        <w:spacing w:line="240" w:lineRule="auto"/>
        <w:jc w:val="both"/>
        <w:rPr>
          <w:rFonts w:ascii="Arial" w:hAnsi="Arial" w:cs="Arial"/>
          <w:b/>
          <w:sz w:val="24"/>
          <w:szCs w:val="24"/>
        </w:rPr>
      </w:pPr>
    </w:p>
    <w:p w:rsidR="00AF6968" w:rsidRDefault="00AF6968" w:rsidP="00AF6968">
      <w:pPr>
        <w:spacing w:line="240" w:lineRule="auto"/>
        <w:ind w:left="720"/>
        <w:jc w:val="both"/>
        <w:rPr>
          <w:rFonts w:ascii="Arial" w:hAnsi="Arial" w:cs="Arial"/>
          <w:b/>
          <w:sz w:val="24"/>
          <w:szCs w:val="24"/>
        </w:rPr>
      </w:pPr>
      <w:r>
        <w:rPr>
          <w:rFonts w:ascii="Arial" w:hAnsi="Arial" w:cs="Arial"/>
          <w:b/>
          <w:sz w:val="24"/>
          <w:szCs w:val="24"/>
        </w:rPr>
        <w:lastRenderedPageBreak/>
        <w:t>Πίνακας 3. Κατανομή των ιστολογικών τύπων κακοήθων</w:t>
      </w:r>
    </w:p>
    <w:p w:rsidR="006C1D2C" w:rsidRDefault="006C1D2C" w:rsidP="00AF6968">
      <w:pPr>
        <w:spacing w:line="240" w:lineRule="auto"/>
        <w:ind w:left="1800"/>
        <w:jc w:val="both"/>
        <w:rPr>
          <w:rFonts w:ascii="Arial" w:hAnsi="Arial" w:cs="Arial"/>
          <w:b/>
          <w:sz w:val="24"/>
          <w:szCs w:val="24"/>
        </w:rPr>
      </w:pPr>
      <w:r>
        <w:rPr>
          <w:rFonts w:ascii="Arial" w:hAnsi="Arial" w:cs="Arial"/>
          <w:b/>
          <w:sz w:val="24"/>
          <w:szCs w:val="24"/>
        </w:rPr>
        <w:t xml:space="preserve">   </w:t>
      </w:r>
      <w:r w:rsidR="00AF6968">
        <w:rPr>
          <w:rFonts w:ascii="Arial" w:hAnsi="Arial" w:cs="Arial"/>
          <w:b/>
          <w:sz w:val="24"/>
          <w:szCs w:val="24"/>
        </w:rPr>
        <w:t>νεοπλασμάτων στα διάφορα τμήματα του λεπτού</w:t>
      </w:r>
    </w:p>
    <w:p w:rsidR="00AF6968" w:rsidRDefault="00AF6968" w:rsidP="00AF6968">
      <w:pPr>
        <w:spacing w:line="240" w:lineRule="auto"/>
        <w:ind w:left="1800"/>
        <w:jc w:val="both"/>
        <w:rPr>
          <w:rFonts w:ascii="Arial" w:hAnsi="Arial" w:cs="Arial"/>
          <w:b/>
          <w:sz w:val="24"/>
          <w:szCs w:val="24"/>
        </w:rPr>
      </w:pPr>
      <w:r>
        <w:rPr>
          <w:rFonts w:ascii="Arial" w:hAnsi="Arial" w:cs="Arial"/>
          <w:b/>
          <w:sz w:val="24"/>
          <w:szCs w:val="24"/>
        </w:rPr>
        <w:t xml:space="preserve"> </w:t>
      </w:r>
      <w:r w:rsidR="006C1D2C">
        <w:rPr>
          <w:rFonts w:ascii="Arial" w:hAnsi="Arial" w:cs="Arial"/>
          <w:b/>
          <w:sz w:val="24"/>
          <w:szCs w:val="24"/>
        </w:rPr>
        <w:t xml:space="preserve">  </w:t>
      </w:r>
      <w:r>
        <w:rPr>
          <w:rFonts w:ascii="Arial" w:hAnsi="Arial" w:cs="Arial"/>
          <w:b/>
          <w:sz w:val="24"/>
          <w:szCs w:val="24"/>
        </w:rPr>
        <w:t>εντέρου</w:t>
      </w:r>
    </w:p>
    <w:p w:rsidR="00AF6968" w:rsidRDefault="009E7819" w:rsidP="00AF6968">
      <w:pPr>
        <w:spacing w:line="240" w:lineRule="auto"/>
        <w:jc w:val="both"/>
        <w:rPr>
          <w:rFonts w:ascii="Arial" w:hAnsi="Arial" w:cs="Arial"/>
          <w:b/>
          <w:sz w:val="24"/>
          <w:szCs w:val="24"/>
        </w:rPr>
      </w:pPr>
      <w:r w:rsidRPr="009E7819">
        <w:rPr>
          <w:rFonts w:ascii="Arial" w:hAnsi="Arial" w:cs="Arial"/>
          <w:sz w:val="24"/>
          <w:szCs w:val="24"/>
        </w:rPr>
        <w:pict>
          <v:rect id="_x0000_i1029" style="width:0;height:1.5pt" o:hralign="center" o:hrstd="t" o:hr="t" fillcolor="#a0a0a0" stroked="f"/>
        </w:pict>
      </w:r>
    </w:p>
    <w:p w:rsidR="006C1D2C" w:rsidRDefault="006C1D2C" w:rsidP="006C1D2C">
      <w:pPr>
        <w:spacing w:line="240" w:lineRule="auto"/>
        <w:ind w:left="1440" w:firstLine="720"/>
        <w:jc w:val="both"/>
        <w:rPr>
          <w:rFonts w:ascii="Arial" w:hAnsi="Arial" w:cs="Arial"/>
          <w:sz w:val="24"/>
          <w:szCs w:val="24"/>
        </w:rPr>
      </w:pPr>
      <w:r>
        <w:rPr>
          <w:rFonts w:ascii="Arial" w:hAnsi="Arial" w:cs="Arial"/>
          <w:sz w:val="24"/>
          <w:szCs w:val="24"/>
        </w:rPr>
        <w:t>Καρκινοειδές</w:t>
      </w:r>
      <w:r>
        <w:rPr>
          <w:rFonts w:ascii="Arial" w:hAnsi="Arial" w:cs="Arial"/>
          <w:sz w:val="24"/>
          <w:szCs w:val="24"/>
        </w:rPr>
        <w:tab/>
      </w:r>
      <w:r>
        <w:rPr>
          <w:rFonts w:ascii="Arial" w:hAnsi="Arial" w:cs="Arial"/>
          <w:sz w:val="24"/>
          <w:szCs w:val="24"/>
        </w:rPr>
        <w:tab/>
        <w:t>Αδενοκαρκίνωμα</w:t>
      </w:r>
      <w:r>
        <w:rPr>
          <w:rFonts w:ascii="Arial" w:hAnsi="Arial" w:cs="Arial"/>
          <w:sz w:val="24"/>
          <w:szCs w:val="24"/>
        </w:rPr>
        <w:tab/>
      </w:r>
      <w:r>
        <w:rPr>
          <w:rFonts w:ascii="Arial" w:hAnsi="Arial" w:cs="Arial"/>
          <w:sz w:val="24"/>
          <w:szCs w:val="24"/>
        </w:rPr>
        <w:tab/>
        <w:t>Σάρκωμα</w:t>
      </w:r>
    </w:p>
    <w:p w:rsidR="00AF6968" w:rsidRPr="00EE2B60" w:rsidRDefault="009E7819" w:rsidP="006C1D2C">
      <w:pPr>
        <w:spacing w:line="240" w:lineRule="auto"/>
        <w:jc w:val="both"/>
        <w:rPr>
          <w:rFonts w:ascii="Arial" w:hAnsi="Arial" w:cs="Arial"/>
          <w:b/>
          <w:sz w:val="24"/>
          <w:szCs w:val="24"/>
        </w:rPr>
      </w:pPr>
      <w:r w:rsidRPr="009E7819">
        <w:rPr>
          <w:rFonts w:ascii="Arial" w:hAnsi="Arial" w:cs="Arial"/>
          <w:sz w:val="24"/>
          <w:szCs w:val="24"/>
        </w:rPr>
        <w:pict>
          <v:rect id="_x0000_i1030" style="width:0;height:1.5pt" o:hralign="center" o:hrstd="t" o:hr="t" fillcolor="#a0a0a0" stroked="f"/>
        </w:pict>
      </w:r>
    </w:p>
    <w:p w:rsidR="00173006" w:rsidRPr="000955CB" w:rsidRDefault="006C1D2C" w:rsidP="006C1D2C">
      <w:pPr>
        <w:spacing w:line="240" w:lineRule="auto"/>
        <w:jc w:val="both"/>
        <w:rPr>
          <w:rFonts w:ascii="Arial" w:hAnsi="Arial" w:cs="Arial"/>
          <w:sz w:val="24"/>
          <w:szCs w:val="24"/>
          <w:lang w:val="en-US"/>
        </w:rPr>
      </w:pPr>
      <w:r>
        <w:rPr>
          <w:rFonts w:ascii="Arial" w:hAnsi="Arial" w:cs="Arial"/>
          <w:sz w:val="24"/>
          <w:szCs w:val="24"/>
        </w:rPr>
        <w:t>Δωδεκαδάκτυλο</w:t>
      </w:r>
      <w:r w:rsidR="000955CB" w:rsidRPr="000955CB">
        <w:rPr>
          <w:rFonts w:ascii="Arial" w:hAnsi="Arial" w:cs="Arial"/>
          <w:sz w:val="24"/>
          <w:szCs w:val="24"/>
          <w:lang w:val="en-US"/>
        </w:rPr>
        <w:tab/>
        <w:t xml:space="preserve">     </w:t>
      </w:r>
      <w:r w:rsidR="000955CB">
        <w:rPr>
          <w:rFonts w:ascii="Arial" w:hAnsi="Arial" w:cs="Arial"/>
          <w:sz w:val="24"/>
          <w:szCs w:val="24"/>
          <w:lang w:val="en-US"/>
        </w:rPr>
        <w:t>6,4%</w:t>
      </w:r>
      <w:r w:rsidR="000955CB">
        <w:rPr>
          <w:rFonts w:ascii="Arial" w:hAnsi="Arial" w:cs="Arial"/>
          <w:sz w:val="24"/>
          <w:szCs w:val="24"/>
          <w:lang w:val="en-US"/>
        </w:rPr>
        <w:tab/>
      </w:r>
      <w:r w:rsidR="000955CB">
        <w:rPr>
          <w:rFonts w:ascii="Arial" w:hAnsi="Arial" w:cs="Arial"/>
          <w:sz w:val="24"/>
          <w:szCs w:val="24"/>
          <w:lang w:val="en-US"/>
        </w:rPr>
        <w:tab/>
      </w:r>
      <w:r w:rsidR="000955CB">
        <w:rPr>
          <w:rFonts w:ascii="Arial" w:hAnsi="Arial" w:cs="Arial"/>
          <w:sz w:val="24"/>
          <w:szCs w:val="24"/>
        </w:rPr>
        <w:t xml:space="preserve">        </w:t>
      </w:r>
      <w:r w:rsidR="000955CB" w:rsidRPr="000955CB">
        <w:rPr>
          <w:rFonts w:ascii="Arial" w:hAnsi="Arial" w:cs="Arial"/>
          <w:sz w:val="24"/>
          <w:szCs w:val="24"/>
          <w:lang w:val="en-US"/>
        </w:rPr>
        <w:t>37,9%</w:t>
      </w:r>
      <w:r w:rsidR="000955CB" w:rsidRPr="000955CB">
        <w:rPr>
          <w:rFonts w:ascii="Arial" w:hAnsi="Arial" w:cs="Arial"/>
          <w:sz w:val="24"/>
          <w:szCs w:val="24"/>
          <w:lang w:val="en-US"/>
        </w:rPr>
        <w:tab/>
      </w:r>
      <w:r w:rsidR="000955CB" w:rsidRPr="000955CB">
        <w:rPr>
          <w:rFonts w:ascii="Arial" w:hAnsi="Arial" w:cs="Arial"/>
          <w:sz w:val="24"/>
          <w:szCs w:val="24"/>
          <w:lang w:val="en-US"/>
        </w:rPr>
        <w:tab/>
      </w:r>
      <w:r w:rsidR="000955CB" w:rsidRPr="000955CB">
        <w:rPr>
          <w:rFonts w:ascii="Arial" w:hAnsi="Arial" w:cs="Arial"/>
          <w:sz w:val="24"/>
          <w:szCs w:val="24"/>
          <w:lang w:val="en-US"/>
        </w:rPr>
        <w:tab/>
      </w:r>
      <w:r w:rsidR="000955CB">
        <w:rPr>
          <w:rFonts w:ascii="Arial" w:hAnsi="Arial" w:cs="Arial"/>
          <w:sz w:val="24"/>
          <w:szCs w:val="24"/>
        </w:rPr>
        <w:t xml:space="preserve">   </w:t>
      </w:r>
      <w:r w:rsidR="000955CB" w:rsidRPr="000955CB">
        <w:rPr>
          <w:rFonts w:ascii="Arial" w:hAnsi="Arial" w:cs="Arial"/>
          <w:sz w:val="24"/>
          <w:szCs w:val="24"/>
          <w:lang w:val="en-US"/>
        </w:rPr>
        <w:t>15,8%</w:t>
      </w:r>
    </w:p>
    <w:p w:rsidR="006C1D2C" w:rsidRPr="000955CB" w:rsidRDefault="006C1D2C" w:rsidP="006C1D2C">
      <w:pPr>
        <w:spacing w:line="240" w:lineRule="auto"/>
        <w:jc w:val="both"/>
        <w:rPr>
          <w:rFonts w:ascii="Arial" w:hAnsi="Arial" w:cs="Arial"/>
          <w:sz w:val="24"/>
          <w:szCs w:val="24"/>
        </w:rPr>
      </w:pPr>
      <w:r>
        <w:rPr>
          <w:rFonts w:ascii="Arial" w:hAnsi="Arial" w:cs="Arial"/>
          <w:sz w:val="24"/>
          <w:szCs w:val="24"/>
        </w:rPr>
        <w:t>Νήστιδα</w:t>
      </w:r>
      <w:r w:rsidR="000955CB" w:rsidRPr="000955CB">
        <w:rPr>
          <w:rFonts w:ascii="Arial" w:hAnsi="Arial" w:cs="Arial"/>
          <w:sz w:val="24"/>
          <w:szCs w:val="24"/>
          <w:lang w:val="en-US"/>
        </w:rPr>
        <w:tab/>
      </w:r>
      <w:r w:rsidR="000955CB" w:rsidRPr="000955CB">
        <w:rPr>
          <w:rFonts w:ascii="Arial" w:hAnsi="Arial" w:cs="Arial"/>
          <w:sz w:val="24"/>
          <w:szCs w:val="24"/>
          <w:lang w:val="en-US"/>
        </w:rPr>
        <w:tab/>
        <w:t xml:space="preserve">     5,3%</w:t>
      </w:r>
      <w:r w:rsidR="000955CB" w:rsidRPr="000955CB">
        <w:rPr>
          <w:rFonts w:ascii="Arial" w:hAnsi="Arial" w:cs="Arial"/>
          <w:sz w:val="24"/>
          <w:szCs w:val="24"/>
          <w:lang w:val="en-US"/>
        </w:rPr>
        <w:tab/>
      </w:r>
      <w:r w:rsidR="000955CB" w:rsidRPr="000955CB">
        <w:rPr>
          <w:rFonts w:ascii="Arial" w:hAnsi="Arial" w:cs="Arial"/>
          <w:sz w:val="24"/>
          <w:szCs w:val="24"/>
          <w:lang w:val="en-US"/>
        </w:rPr>
        <w:tab/>
        <w:t xml:space="preserve">        36,5%</w:t>
      </w:r>
      <w:r w:rsidR="000955CB" w:rsidRPr="000955CB">
        <w:rPr>
          <w:rFonts w:ascii="Arial" w:hAnsi="Arial" w:cs="Arial"/>
          <w:sz w:val="24"/>
          <w:szCs w:val="24"/>
          <w:lang w:val="en-US"/>
        </w:rPr>
        <w:tab/>
      </w:r>
      <w:r w:rsidR="000955CB">
        <w:rPr>
          <w:rFonts w:ascii="Arial" w:hAnsi="Arial" w:cs="Arial"/>
          <w:sz w:val="24"/>
          <w:szCs w:val="24"/>
        </w:rPr>
        <w:tab/>
      </w:r>
      <w:r w:rsidR="000955CB">
        <w:rPr>
          <w:rFonts w:ascii="Arial" w:hAnsi="Arial" w:cs="Arial"/>
          <w:sz w:val="24"/>
          <w:szCs w:val="24"/>
        </w:rPr>
        <w:tab/>
        <w:t xml:space="preserve">   31,6%</w:t>
      </w:r>
    </w:p>
    <w:p w:rsidR="000955CB" w:rsidRPr="000955CB" w:rsidRDefault="006C1D2C" w:rsidP="006C1D2C">
      <w:pPr>
        <w:spacing w:line="240" w:lineRule="auto"/>
        <w:jc w:val="both"/>
        <w:rPr>
          <w:rFonts w:ascii="Arial" w:hAnsi="Arial" w:cs="Arial"/>
          <w:sz w:val="24"/>
          <w:szCs w:val="24"/>
        </w:rPr>
      </w:pPr>
      <w:r>
        <w:rPr>
          <w:rFonts w:ascii="Arial" w:hAnsi="Arial" w:cs="Arial"/>
          <w:sz w:val="24"/>
          <w:szCs w:val="24"/>
        </w:rPr>
        <w:t>Ειλεός</w:t>
      </w:r>
      <w:r w:rsidR="000955CB" w:rsidRPr="000955CB">
        <w:rPr>
          <w:rFonts w:ascii="Arial" w:hAnsi="Arial" w:cs="Arial"/>
          <w:sz w:val="24"/>
          <w:szCs w:val="24"/>
          <w:lang w:val="en-US"/>
        </w:rPr>
        <w:tab/>
      </w:r>
      <w:r w:rsidR="000955CB" w:rsidRPr="000955CB">
        <w:rPr>
          <w:rFonts w:ascii="Arial" w:hAnsi="Arial" w:cs="Arial"/>
          <w:sz w:val="24"/>
          <w:szCs w:val="24"/>
          <w:lang w:val="en-US"/>
        </w:rPr>
        <w:tab/>
      </w:r>
      <w:r w:rsidR="000955CB" w:rsidRPr="000955CB">
        <w:rPr>
          <w:rFonts w:ascii="Arial" w:hAnsi="Arial" w:cs="Arial"/>
          <w:sz w:val="24"/>
          <w:szCs w:val="24"/>
          <w:lang w:val="en-US"/>
        </w:rPr>
        <w:tab/>
        <w:t xml:space="preserve">   88,3%</w:t>
      </w:r>
      <w:r w:rsidR="000955CB" w:rsidRPr="000955CB">
        <w:rPr>
          <w:rFonts w:ascii="Arial" w:hAnsi="Arial" w:cs="Arial"/>
          <w:sz w:val="24"/>
          <w:szCs w:val="24"/>
          <w:lang w:val="en-US"/>
        </w:rPr>
        <w:tab/>
      </w:r>
      <w:r w:rsidR="000955CB" w:rsidRPr="000955CB">
        <w:rPr>
          <w:rFonts w:ascii="Arial" w:hAnsi="Arial" w:cs="Arial"/>
          <w:sz w:val="24"/>
          <w:szCs w:val="24"/>
          <w:lang w:val="en-US"/>
        </w:rPr>
        <w:tab/>
        <w:t xml:space="preserve">        25,6%</w:t>
      </w:r>
      <w:r w:rsidR="000955CB" w:rsidRPr="000955CB">
        <w:rPr>
          <w:rFonts w:ascii="Arial" w:hAnsi="Arial" w:cs="Arial"/>
          <w:sz w:val="24"/>
          <w:szCs w:val="24"/>
          <w:lang w:val="en-US"/>
        </w:rPr>
        <w:tab/>
      </w:r>
      <w:r w:rsidR="000955CB">
        <w:rPr>
          <w:rFonts w:ascii="Arial" w:hAnsi="Arial" w:cs="Arial"/>
          <w:sz w:val="24"/>
          <w:szCs w:val="24"/>
        </w:rPr>
        <w:tab/>
      </w:r>
      <w:r w:rsidR="000955CB">
        <w:rPr>
          <w:rFonts w:ascii="Arial" w:hAnsi="Arial" w:cs="Arial"/>
          <w:sz w:val="24"/>
          <w:szCs w:val="24"/>
        </w:rPr>
        <w:tab/>
        <w:t xml:space="preserve">   52,6%</w:t>
      </w:r>
    </w:p>
    <w:p w:rsidR="006C1D2C" w:rsidRPr="000955CB" w:rsidRDefault="009E7819" w:rsidP="006C1D2C">
      <w:pPr>
        <w:spacing w:line="240" w:lineRule="auto"/>
        <w:jc w:val="both"/>
        <w:rPr>
          <w:rFonts w:ascii="Arial" w:hAnsi="Arial" w:cs="Arial"/>
          <w:sz w:val="24"/>
          <w:szCs w:val="24"/>
          <w:lang w:val="en-US"/>
        </w:rPr>
      </w:pPr>
      <w:r w:rsidRPr="009E7819">
        <w:rPr>
          <w:rFonts w:ascii="Arial" w:hAnsi="Arial" w:cs="Arial"/>
          <w:sz w:val="24"/>
          <w:szCs w:val="24"/>
        </w:rPr>
        <w:pict>
          <v:rect id="_x0000_i1031" style="width:0;height:1.5pt" o:hralign="center" o:hrstd="t" o:hr="t" fillcolor="#a0a0a0" stroked="f"/>
        </w:pict>
      </w:r>
    </w:p>
    <w:p w:rsidR="00173006" w:rsidRDefault="00173006" w:rsidP="00881086">
      <w:pPr>
        <w:spacing w:line="240" w:lineRule="auto"/>
        <w:ind w:firstLine="720"/>
        <w:jc w:val="both"/>
        <w:rPr>
          <w:rFonts w:ascii="Arial" w:hAnsi="Arial" w:cs="Arial"/>
          <w:sz w:val="28"/>
          <w:szCs w:val="28"/>
          <w:lang w:val="en-US"/>
        </w:rPr>
      </w:pPr>
    </w:p>
    <w:p w:rsidR="00B90617" w:rsidRDefault="00FA1F2C" w:rsidP="00881086">
      <w:pPr>
        <w:spacing w:line="240" w:lineRule="auto"/>
        <w:ind w:firstLine="720"/>
        <w:jc w:val="both"/>
        <w:rPr>
          <w:rFonts w:ascii="Arial" w:hAnsi="Arial" w:cs="Arial"/>
          <w:sz w:val="24"/>
          <w:szCs w:val="24"/>
        </w:rPr>
      </w:pPr>
      <w:r>
        <w:rPr>
          <w:rFonts w:ascii="Arial" w:hAnsi="Arial" w:cs="Arial"/>
          <w:sz w:val="24"/>
          <w:szCs w:val="24"/>
        </w:rPr>
        <w:t xml:space="preserve">Να σημειωθεί ότι ο κάθε τύπος κακοήθων νεοπλασμάτων του λεπτού εντέρου διαφέρει από τον άλλο όσον αφορά στη βιολογική έκφραση, στη μορφή επέκτασης και στην πρόγνωση με αποτέλεσμα να είναι αδύνατη η γενίκευση ως προς τη θεραπευτική τους αντιμετώπιση. Το γεγονός αυτό οδηγεί στην ιδιαίτερη μελέτη </w:t>
      </w:r>
      <w:r w:rsidRPr="006F5AC5">
        <w:rPr>
          <w:rFonts w:ascii="Arial" w:hAnsi="Arial" w:cs="Arial"/>
          <w:sz w:val="24"/>
          <w:szCs w:val="24"/>
        </w:rPr>
        <w:t>του</w:t>
      </w:r>
      <w:r>
        <w:rPr>
          <w:rFonts w:ascii="Arial" w:hAnsi="Arial" w:cs="Arial"/>
          <w:sz w:val="24"/>
          <w:szCs w:val="24"/>
        </w:rPr>
        <w:t xml:space="preserve"> κάθε ιστολογικού τύπου</w:t>
      </w:r>
      <w:r w:rsidR="00CD0E66">
        <w:rPr>
          <w:rFonts w:ascii="Arial" w:hAnsi="Arial" w:cs="Arial"/>
          <w:sz w:val="24"/>
          <w:szCs w:val="24"/>
        </w:rPr>
        <w:t>.</w:t>
      </w:r>
    </w:p>
    <w:p w:rsidR="00CD0E66" w:rsidRDefault="00CD0E66" w:rsidP="00881086">
      <w:pPr>
        <w:spacing w:line="240" w:lineRule="auto"/>
        <w:ind w:firstLine="720"/>
        <w:jc w:val="both"/>
        <w:rPr>
          <w:rFonts w:ascii="Arial" w:hAnsi="Arial" w:cs="Arial"/>
          <w:sz w:val="24"/>
          <w:szCs w:val="24"/>
        </w:rPr>
      </w:pPr>
    </w:p>
    <w:p w:rsidR="00CD0E66" w:rsidRPr="004F40FA" w:rsidRDefault="00CD0E66" w:rsidP="00881086">
      <w:pPr>
        <w:spacing w:line="240" w:lineRule="auto"/>
        <w:ind w:firstLine="720"/>
        <w:jc w:val="both"/>
        <w:rPr>
          <w:rFonts w:ascii="Arial" w:hAnsi="Arial" w:cs="Arial"/>
          <w:b/>
          <w:sz w:val="24"/>
          <w:szCs w:val="24"/>
        </w:rPr>
      </w:pPr>
      <w:r>
        <w:rPr>
          <w:rFonts w:ascii="Arial" w:hAnsi="Arial" w:cs="Arial"/>
          <w:b/>
          <w:sz w:val="24"/>
          <w:szCs w:val="24"/>
        </w:rPr>
        <w:t>ΑΔΕΝΟΚΑΡΚΙΝΩΜΑ</w:t>
      </w:r>
    </w:p>
    <w:p w:rsidR="006F5AC5" w:rsidRDefault="00BF3DE6" w:rsidP="00881086">
      <w:pPr>
        <w:spacing w:line="240" w:lineRule="auto"/>
        <w:ind w:firstLine="720"/>
        <w:jc w:val="both"/>
        <w:rPr>
          <w:rFonts w:ascii="Arial" w:hAnsi="Arial" w:cs="Arial"/>
          <w:b/>
          <w:i/>
          <w:sz w:val="24"/>
          <w:szCs w:val="24"/>
        </w:rPr>
      </w:pPr>
      <w:r>
        <w:rPr>
          <w:rFonts w:ascii="Arial" w:hAnsi="Arial" w:cs="Arial"/>
          <w:b/>
          <w:i/>
          <w:sz w:val="24"/>
          <w:szCs w:val="24"/>
        </w:rPr>
        <w:t>Παθοφυσιολογία</w:t>
      </w:r>
    </w:p>
    <w:p w:rsidR="00BF3DE6" w:rsidRDefault="00BF3DE6" w:rsidP="00881086">
      <w:pPr>
        <w:spacing w:line="240" w:lineRule="auto"/>
        <w:ind w:firstLine="720"/>
        <w:jc w:val="both"/>
        <w:rPr>
          <w:rFonts w:ascii="Arial" w:hAnsi="Arial" w:cs="Arial"/>
          <w:sz w:val="24"/>
          <w:szCs w:val="24"/>
        </w:rPr>
      </w:pPr>
      <w:r>
        <w:rPr>
          <w:rFonts w:ascii="Arial" w:hAnsi="Arial" w:cs="Arial"/>
          <w:sz w:val="24"/>
          <w:szCs w:val="24"/>
        </w:rPr>
        <w:t>Το αδενοκαρκίνωμα αποτελεί το συχνότερο, ίσως, κακόηθες νεόπλασμα του λεπτού εντέρου με ποσοστό 35% έως 40% του συνόλου των κακοήθων νεοπλασμάτων και επιδημιολογικά εμφανίζει πολλές ομοιότητες με το αδενοκαρκίνωμα του παχέος εντέρου. Για παράδειγμα</w:t>
      </w:r>
      <w:r w:rsidR="005B3A7B">
        <w:rPr>
          <w:rFonts w:ascii="Arial" w:hAnsi="Arial" w:cs="Arial"/>
          <w:sz w:val="24"/>
          <w:szCs w:val="24"/>
        </w:rPr>
        <w:t>,</w:t>
      </w:r>
      <w:r>
        <w:rPr>
          <w:rFonts w:ascii="Arial" w:hAnsi="Arial" w:cs="Arial"/>
          <w:sz w:val="24"/>
          <w:szCs w:val="24"/>
        </w:rPr>
        <w:t xml:space="preserve"> ενώ το αδενοκαρκίνωμα του λεπτού εντέρου εμφανίζεται σε συχνότητα 1/15 της συχνότητας του αδενοκαρκινώματος του παχέος εντέρου</w:t>
      </w:r>
      <w:r w:rsidR="005B3A7B">
        <w:rPr>
          <w:rFonts w:ascii="Arial" w:hAnsi="Arial" w:cs="Arial"/>
          <w:sz w:val="24"/>
          <w:szCs w:val="24"/>
        </w:rPr>
        <w:t>, έχουν την ίδια γεωγραφική κατανομή</w:t>
      </w:r>
      <w:r w:rsidR="00462029">
        <w:rPr>
          <w:rFonts w:ascii="Arial" w:hAnsi="Arial" w:cs="Arial"/>
          <w:sz w:val="24"/>
          <w:szCs w:val="24"/>
        </w:rPr>
        <w:t xml:space="preserve"> με επικράτηση στις χώρες του Δυτικού κόσμου. Επιπλέον, έχουν την τάση να προσβάλουν, ταυτόχρονα ή ετεροχρονισμένα, τους ίδιους ασθενείς</w:t>
      </w:r>
      <w:r w:rsidR="006A014F">
        <w:rPr>
          <w:rFonts w:ascii="Arial" w:hAnsi="Arial" w:cs="Arial"/>
          <w:sz w:val="24"/>
          <w:szCs w:val="24"/>
        </w:rPr>
        <w:t>. Οι ασθενείς με αδενοκαρκίνωμα παχέος εντέρου που επιβιώνουν, έχουν μεγαλύτερο κίνδυνο ανάπτυξης αδενοκαρκινώματος του λεπτού εντέρου και αντίστροφα. Επιπλέον, παρόμοια με τα αδενοκαρκινώματα του παχέος εντέρου, αυτά του λεπτού εντέρου αναπτύσσονται σε έδαφος αδενωμάτων, τόσο των σποραδικών όσο και</w:t>
      </w:r>
      <w:r w:rsidR="000F77DE" w:rsidRPr="000F77DE">
        <w:rPr>
          <w:rFonts w:ascii="Arial" w:hAnsi="Arial" w:cs="Arial"/>
          <w:sz w:val="24"/>
          <w:szCs w:val="24"/>
        </w:rPr>
        <w:t xml:space="preserve"> </w:t>
      </w:r>
      <w:r w:rsidR="000F77DE">
        <w:rPr>
          <w:rFonts w:ascii="Arial" w:hAnsi="Arial" w:cs="Arial"/>
          <w:sz w:val="24"/>
          <w:szCs w:val="24"/>
        </w:rPr>
        <w:t>των κληρονομικών. Αντίθετα με τις</w:t>
      </w:r>
      <w:r w:rsidR="006A014F">
        <w:rPr>
          <w:rFonts w:ascii="Arial" w:hAnsi="Arial" w:cs="Arial"/>
          <w:sz w:val="24"/>
          <w:szCs w:val="24"/>
        </w:rPr>
        <w:t xml:space="preserve"> </w:t>
      </w:r>
      <w:r w:rsidR="00F43754">
        <w:rPr>
          <w:rFonts w:ascii="Arial" w:hAnsi="Arial" w:cs="Arial"/>
          <w:sz w:val="24"/>
          <w:szCs w:val="24"/>
        </w:rPr>
        <w:t xml:space="preserve"> </w:t>
      </w:r>
      <w:r w:rsidR="00860682">
        <w:rPr>
          <w:rFonts w:ascii="Arial" w:hAnsi="Arial" w:cs="Arial"/>
          <w:sz w:val="24"/>
          <w:szCs w:val="24"/>
        </w:rPr>
        <w:t>ομοιότητές τους όμως, το αδενοκαρκίνωμα του λεπτού εντέρου έχει την τάση</w:t>
      </w:r>
      <w:r w:rsidR="00390CD9">
        <w:rPr>
          <w:rFonts w:ascii="Arial" w:hAnsi="Arial" w:cs="Arial"/>
          <w:sz w:val="24"/>
          <w:szCs w:val="24"/>
        </w:rPr>
        <w:t xml:space="preserve"> να</w:t>
      </w:r>
      <w:r w:rsidR="00860682">
        <w:rPr>
          <w:rFonts w:ascii="Arial" w:hAnsi="Arial" w:cs="Arial"/>
          <w:sz w:val="24"/>
          <w:szCs w:val="24"/>
        </w:rPr>
        <w:t xml:space="preserve"> δημιουργείται σε θέσεις μακράν του παχέος εντέρου, συχνότερα στο δωδεκαδάκτυλο και λιγότερο συχνά στον ειλεό. (πίνακας 3)</w:t>
      </w:r>
      <w:r w:rsidR="00B16539">
        <w:rPr>
          <w:rFonts w:ascii="Arial" w:hAnsi="Arial" w:cs="Arial"/>
          <w:sz w:val="24"/>
          <w:szCs w:val="24"/>
        </w:rPr>
        <w:t xml:space="preserve"> Το γεγονός ότι το δωδεκαδάκτυλο αποτελεί το πρώτο τμήμα του λεπτού εντέρου και συνεπώς υπόκειται πρώτο στη δράση προσλαμβανόμενων χημικών ουσιών και των χολοπαγκρεατικών εκκρίσεων, συνδυαζόμενο με τη μεγαλύτερη επίπτωση του αδενοκαρκινώματος στο </w:t>
      </w:r>
      <w:r w:rsidR="00B16539">
        <w:rPr>
          <w:rFonts w:ascii="Arial" w:hAnsi="Arial" w:cs="Arial"/>
          <w:sz w:val="24"/>
          <w:szCs w:val="24"/>
        </w:rPr>
        <w:lastRenderedPageBreak/>
        <w:t>τμήμα αυτό, οδηγεί στο συμπέρασμα</w:t>
      </w:r>
      <w:r w:rsidR="00083867">
        <w:rPr>
          <w:rFonts w:ascii="Arial" w:hAnsi="Arial" w:cs="Arial"/>
          <w:sz w:val="24"/>
          <w:szCs w:val="24"/>
        </w:rPr>
        <w:t xml:space="preserve"> ότι προσλαμβανόμενες χημικές ουσίες και οι χολοπαγκρεατικές εκκρίσεις δυνατό να έχουν καρκινογόνο δράση. Επιπρόσθετα, γενετική ανάλυση σε σποραδικά αδενοκαρκινώματα του λεπτού εντέρου εμφανίζει ομοιότητες και διαφορές με την παθογένεση του αδενοκαρκινώματος του παχέος εντέρου. Έτσι, ενώ η μετάλλαξη του K-ras και η υπερέκφραση του p53 είναι κοινή και στα δύο αδενοκαρκινώματα, </w:t>
      </w:r>
      <w:r w:rsidR="00D37461">
        <w:rPr>
          <w:rFonts w:ascii="Arial" w:hAnsi="Arial" w:cs="Arial"/>
          <w:sz w:val="24"/>
          <w:szCs w:val="24"/>
        </w:rPr>
        <w:t>η μετάλλαξη του κατασταλτικού ογκογονιδίου APC είναι χαρακτηριστική μόνο στο αδενοκαρκίνωμα του παχέος εντέρου, ενώ δεν εμφανίζεται συχνά στο αδενοκαρκίνωμα του λεπτού εντέρου.</w:t>
      </w:r>
      <w:r w:rsidR="00F33589">
        <w:rPr>
          <w:rFonts w:ascii="Arial" w:hAnsi="Arial" w:cs="Arial"/>
          <w:sz w:val="24"/>
          <w:szCs w:val="24"/>
          <w:vertAlign w:val="superscript"/>
        </w:rPr>
        <w:t>8,9</w:t>
      </w:r>
      <w:r w:rsidR="00364CC1">
        <w:rPr>
          <w:rFonts w:ascii="Arial" w:hAnsi="Arial" w:cs="Arial"/>
          <w:sz w:val="24"/>
          <w:szCs w:val="24"/>
        </w:rPr>
        <w:t xml:space="preserve"> </w:t>
      </w:r>
    </w:p>
    <w:p w:rsidR="00364CC1" w:rsidRDefault="00364CC1" w:rsidP="00881086">
      <w:pPr>
        <w:spacing w:line="240" w:lineRule="auto"/>
        <w:ind w:firstLine="720"/>
        <w:jc w:val="both"/>
        <w:rPr>
          <w:rFonts w:ascii="Arial" w:hAnsi="Arial" w:cs="Arial"/>
          <w:b/>
          <w:i/>
          <w:sz w:val="24"/>
          <w:szCs w:val="24"/>
        </w:rPr>
      </w:pPr>
      <w:r>
        <w:rPr>
          <w:rFonts w:ascii="Arial" w:hAnsi="Arial" w:cs="Arial"/>
          <w:b/>
          <w:i/>
          <w:sz w:val="24"/>
          <w:szCs w:val="24"/>
        </w:rPr>
        <w:t>Επιδημιολογικά χαρακτηριστικά</w:t>
      </w:r>
    </w:p>
    <w:p w:rsidR="00364CC1" w:rsidRDefault="00364CC1" w:rsidP="00881086">
      <w:pPr>
        <w:spacing w:line="240" w:lineRule="auto"/>
        <w:ind w:firstLine="720"/>
        <w:jc w:val="both"/>
        <w:rPr>
          <w:rFonts w:ascii="Arial" w:hAnsi="Arial" w:cs="Arial"/>
          <w:sz w:val="24"/>
          <w:szCs w:val="24"/>
        </w:rPr>
      </w:pPr>
      <w:r>
        <w:rPr>
          <w:rFonts w:ascii="Arial" w:hAnsi="Arial" w:cs="Arial"/>
          <w:sz w:val="24"/>
          <w:szCs w:val="24"/>
        </w:rPr>
        <w:t xml:space="preserve">Το αδενοκαρκίνωμα του λεπτού εντέρου, όπως έχει ήδη αναφερθεί, εμφανίζεται συχνότερα </w:t>
      </w:r>
      <w:r w:rsidR="004974A7">
        <w:rPr>
          <w:rFonts w:ascii="Arial" w:hAnsi="Arial" w:cs="Arial"/>
          <w:sz w:val="24"/>
          <w:szCs w:val="24"/>
        </w:rPr>
        <w:t>στις αναπυγμένες χώρες του Δυτικού κόσμου και λιγότερο συχνά στις χώρες της Ασίας και στις λιγότερο αναπτυγμένες περιοχές. Η σχέση μεταξύ ανδρών/γυναικών είναι 1,4/1</w:t>
      </w:r>
      <w:r w:rsidR="008E7E2F">
        <w:rPr>
          <w:rFonts w:ascii="Arial" w:hAnsi="Arial" w:cs="Arial"/>
          <w:sz w:val="24"/>
          <w:szCs w:val="24"/>
        </w:rPr>
        <w:t>,</w:t>
      </w:r>
      <w:r w:rsidR="008E7E2F">
        <w:rPr>
          <w:rFonts w:ascii="Arial" w:hAnsi="Arial" w:cs="Arial"/>
          <w:sz w:val="24"/>
          <w:szCs w:val="24"/>
          <w:vertAlign w:val="superscript"/>
        </w:rPr>
        <w:t>10</w:t>
      </w:r>
      <w:r w:rsidR="004974A7">
        <w:rPr>
          <w:rFonts w:ascii="Arial" w:hAnsi="Arial" w:cs="Arial"/>
          <w:sz w:val="24"/>
          <w:szCs w:val="24"/>
        </w:rPr>
        <w:t xml:space="preserve"> </w:t>
      </w:r>
      <w:r w:rsidR="008E7E2F">
        <w:rPr>
          <w:rFonts w:ascii="Arial" w:hAnsi="Arial" w:cs="Arial"/>
          <w:sz w:val="24"/>
          <w:szCs w:val="24"/>
        </w:rPr>
        <w:t>ενώ μελέτη από τις ΗΠΑ εμφανίζει σχεδόν διπλάσια επίπτωση στο μαύρο πληθυσμό σε σχέση με το λευκό (</w:t>
      </w:r>
      <w:r w:rsidR="00A76D34">
        <w:rPr>
          <w:rFonts w:ascii="Arial" w:hAnsi="Arial" w:cs="Arial"/>
          <w:sz w:val="24"/>
          <w:szCs w:val="24"/>
        </w:rPr>
        <w:t>10,6 και 5,6/εκατομμύριο πληθυσμού αντίστοιχα).</w:t>
      </w:r>
      <w:r w:rsidR="00A76D34">
        <w:rPr>
          <w:rFonts w:ascii="Arial" w:hAnsi="Arial" w:cs="Arial"/>
          <w:sz w:val="24"/>
          <w:szCs w:val="24"/>
          <w:vertAlign w:val="superscript"/>
        </w:rPr>
        <w:t>10</w:t>
      </w:r>
      <w:r w:rsidR="00A76D34">
        <w:rPr>
          <w:rFonts w:ascii="Arial" w:hAnsi="Arial" w:cs="Arial"/>
          <w:sz w:val="24"/>
          <w:szCs w:val="24"/>
        </w:rPr>
        <w:t xml:space="preserve"> Η εμφάνιση της νόσου αυξάνεται με την ηλικία και η μέση ηλικία διάγνωσής της είναι τα 60 χρόνια. Η πενταετής επιβίωση των ασθενών με αδενοκαρκίνωμα του λεπτού εντέρου έχει υπολογισθεί ότι είναι 30-35%.</w:t>
      </w:r>
    </w:p>
    <w:p w:rsidR="00C500BB" w:rsidRDefault="00C500BB" w:rsidP="00881086">
      <w:pPr>
        <w:spacing w:line="240" w:lineRule="auto"/>
        <w:ind w:firstLine="720"/>
        <w:jc w:val="both"/>
        <w:rPr>
          <w:rFonts w:ascii="Arial" w:hAnsi="Arial" w:cs="Arial"/>
          <w:b/>
          <w:i/>
          <w:sz w:val="24"/>
          <w:szCs w:val="24"/>
        </w:rPr>
      </w:pPr>
      <w:r>
        <w:rPr>
          <w:rFonts w:ascii="Arial" w:hAnsi="Arial" w:cs="Arial"/>
          <w:b/>
          <w:i/>
          <w:sz w:val="24"/>
          <w:szCs w:val="24"/>
        </w:rPr>
        <w:t>Συμπτώματα</w:t>
      </w:r>
    </w:p>
    <w:p w:rsidR="00553399" w:rsidRDefault="00C500BB" w:rsidP="00881086">
      <w:pPr>
        <w:spacing w:line="240" w:lineRule="auto"/>
        <w:ind w:firstLine="720"/>
        <w:jc w:val="both"/>
        <w:rPr>
          <w:rFonts w:ascii="Arial" w:hAnsi="Arial" w:cs="Arial"/>
          <w:sz w:val="24"/>
          <w:szCs w:val="24"/>
        </w:rPr>
      </w:pPr>
      <w:r>
        <w:rPr>
          <w:rFonts w:ascii="Arial" w:hAnsi="Arial" w:cs="Arial"/>
          <w:sz w:val="24"/>
          <w:szCs w:val="24"/>
        </w:rPr>
        <w:t>Το αδενοκαρκίνωμα του λεπτού εντέρου είναι ασυμπτωματικό στα αρχικά στάδια της νόσου, αλλά ποσοστό μεγαλύτερο του 90% των ασθενών</w:t>
      </w:r>
      <w:r w:rsidR="0096198A">
        <w:rPr>
          <w:rFonts w:ascii="Arial" w:hAnsi="Arial" w:cs="Arial"/>
          <w:sz w:val="24"/>
          <w:szCs w:val="24"/>
        </w:rPr>
        <w:t xml:space="preserve"> θα εμφανίσουν συμπτώματα στη διάρκεια της εξέλιξής της και αυτά, δυστυχώς, σηματοδοτούν την παρουσία προχωρημένης νόσου. Τα συμπτώματα δεν είναι ειδικά και το γεγονός αυτό έχει ως αποτέλεσμα την καθυστέρηση μεταξύ της έναρξης των συμπτωμάτων και της διάγνωσης, η οποία υπολογίζεται σε 6-8 μήνες. Τα συνηθέστερα αρχικά συμπτώματα είναι η ναυτία, ο έμετος</w:t>
      </w:r>
      <w:r w:rsidR="00553399">
        <w:rPr>
          <w:rFonts w:ascii="Arial" w:hAnsi="Arial" w:cs="Arial"/>
          <w:sz w:val="24"/>
          <w:szCs w:val="24"/>
        </w:rPr>
        <w:t>, η εντερική απόφραξη, το κοιλιακό άλγος και η απώλεια βάρους. Η αιμορραγία από το πεπτικό είναι λιγότερο συχνή, σε σχέση με άλλα κακοήθη νεοπλάσματα του λεπτού εντέρου, όπως τα σαρκώματα.</w:t>
      </w:r>
    </w:p>
    <w:p w:rsidR="00A9598C" w:rsidRDefault="00553399" w:rsidP="00881086">
      <w:pPr>
        <w:spacing w:line="240" w:lineRule="auto"/>
        <w:ind w:firstLine="720"/>
        <w:jc w:val="both"/>
        <w:rPr>
          <w:rFonts w:ascii="Arial" w:hAnsi="Arial" w:cs="Arial"/>
          <w:b/>
          <w:i/>
          <w:sz w:val="24"/>
          <w:szCs w:val="24"/>
        </w:rPr>
      </w:pPr>
      <w:r>
        <w:rPr>
          <w:rFonts w:ascii="Arial" w:hAnsi="Arial" w:cs="Arial"/>
          <w:b/>
          <w:i/>
          <w:sz w:val="24"/>
          <w:szCs w:val="24"/>
        </w:rPr>
        <w:t>Κλινικά Σημεία</w:t>
      </w:r>
    </w:p>
    <w:p w:rsidR="00F052DB" w:rsidRDefault="00A9598C" w:rsidP="00881086">
      <w:pPr>
        <w:spacing w:line="240" w:lineRule="auto"/>
        <w:ind w:firstLine="720"/>
        <w:jc w:val="both"/>
        <w:rPr>
          <w:rFonts w:ascii="Arial" w:hAnsi="Arial" w:cs="Arial"/>
          <w:sz w:val="24"/>
          <w:szCs w:val="24"/>
        </w:rPr>
      </w:pPr>
      <w:r>
        <w:rPr>
          <w:rFonts w:ascii="Arial" w:hAnsi="Arial" w:cs="Arial"/>
          <w:sz w:val="24"/>
          <w:szCs w:val="24"/>
        </w:rPr>
        <w:t xml:space="preserve">Οι ασθενείς με κακοήθη νεοπλάσματα του λεπτού εντέρου </w:t>
      </w:r>
      <w:r w:rsidR="00CB6EBA">
        <w:rPr>
          <w:rFonts w:ascii="Arial" w:hAnsi="Arial" w:cs="Arial"/>
          <w:sz w:val="24"/>
          <w:szCs w:val="24"/>
        </w:rPr>
        <w:t>παρουσιάζουν αρκετά, αλλά μη ειδικά κλινικά σημεία. Ευαισθησία και μετεωρισμός της κοιλίας παρατηρείται σε εντερική απόφραξη, σημεία περιτοναϊσμού είναι ενδεικτικά διάτρησης του λεπτού εντέρου, ο ίκτερος εμφανίζεται σπανιότερα και αποδίδεται σε απόφραξη των εξωηπατικών χοληφόρων ή ηπατικές μεταστάσεις.</w:t>
      </w:r>
    </w:p>
    <w:p w:rsidR="00F052DB" w:rsidRDefault="00F052DB" w:rsidP="00881086">
      <w:pPr>
        <w:spacing w:line="240" w:lineRule="auto"/>
        <w:ind w:firstLine="720"/>
        <w:jc w:val="both"/>
        <w:rPr>
          <w:rFonts w:ascii="Arial" w:hAnsi="Arial" w:cs="Arial"/>
          <w:b/>
          <w:i/>
          <w:sz w:val="24"/>
          <w:szCs w:val="24"/>
        </w:rPr>
      </w:pPr>
      <w:r>
        <w:rPr>
          <w:rFonts w:ascii="Arial" w:hAnsi="Arial" w:cs="Arial"/>
          <w:b/>
          <w:i/>
          <w:sz w:val="24"/>
          <w:szCs w:val="24"/>
        </w:rPr>
        <w:t>Γενετικοί παράγοντες κινδύνου</w:t>
      </w:r>
    </w:p>
    <w:p w:rsidR="00F43754" w:rsidRDefault="001868E3" w:rsidP="00881086">
      <w:pPr>
        <w:spacing w:line="240" w:lineRule="auto"/>
        <w:ind w:firstLine="720"/>
        <w:jc w:val="both"/>
        <w:rPr>
          <w:rFonts w:ascii="Arial" w:hAnsi="Arial" w:cs="Arial"/>
          <w:sz w:val="24"/>
          <w:szCs w:val="24"/>
        </w:rPr>
      </w:pPr>
      <w:r>
        <w:rPr>
          <w:rFonts w:ascii="Arial" w:hAnsi="Arial" w:cs="Arial"/>
          <w:sz w:val="24"/>
          <w:szCs w:val="24"/>
          <w:u w:val="single"/>
        </w:rPr>
        <w:t>Οικογενής</w:t>
      </w:r>
      <w:r w:rsidRPr="001868E3">
        <w:rPr>
          <w:rFonts w:ascii="Arial" w:hAnsi="Arial" w:cs="Arial"/>
          <w:sz w:val="24"/>
          <w:szCs w:val="24"/>
          <w:u w:val="single"/>
        </w:rPr>
        <w:t xml:space="preserve"> </w:t>
      </w:r>
      <w:r>
        <w:rPr>
          <w:rFonts w:ascii="Arial" w:hAnsi="Arial" w:cs="Arial"/>
          <w:sz w:val="24"/>
          <w:szCs w:val="24"/>
          <w:u w:val="single"/>
        </w:rPr>
        <w:t>αδενωματώδης</w:t>
      </w:r>
      <w:r w:rsidRPr="001868E3">
        <w:rPr>
          <w:rFonts w:ascii="Arial" w:hAnsi="Arial" w:cs="Arial"/>
          <w:sz w:val="24"/>
          <w:szCs w:val="24"/>
          <w:u w:val="single"/>
        </w:rPr>
        <w:t xml:space="preserve"> </w:t>
      </w:r>
      <w:r>
        <w:rPr>
          <w:rFonts w:ascii="Arial" w:hAnsi="Arial" w:cs="Arial"/>
          <w:sz w:val="24"/>
          <w:szCs w:val="24"/>
          <w:u w:val="single"/>
        </w:rPr>
        <w:t>πολυποδίαση</w:t>
      </w:r>
      <w:r w:rsidRPr="001868E3">
        <w:rPr>
          <w:rFonts w:ascii="Arial" w:hAnsi="Arial" w:cs="Arial"/>
          <w:sz w:val="24"/>
          <w:szCs w:val="24"/>
          <w:u w:val="single"/>
        </w:rPr>
        <w:t>.</w:t>
      </w:r>
      <w:r>
        <w:rPr>
          <w:rFonts w:ascii="Arial" w:hAnsi="Arial" w:cs="Arial"/>
          <w:sz w:val="24"/>
          <w:szCs w:val="24"/>
        </w:rPr>
        <w:t xml:space="preserve"> Οι ασθενείς με το σύνδρομο αυτό εμφανίζουν πολλαπλά αδενώματα κατά μήκος του λεπτού και του παχέος εντέρου, τα οποία δυνατό να εξελιχθούν σε αδενοκαρκινώματα. Μετά το παχύ έντερο, το δωδεκαδάκτυλο αποτελεί το συνηθέστερο σημείο ανάπτυξης αδενοκαρκινώματος. Μια μελέτη από το Johns Hopkins κατέληξε στο συμπέρασμα ότι ασθενείς με οικογενή αδενωματώδη πολυποδίαση </w:t>
      </w:r>
      <w:r>
        <w:rPr>
          <w:rFonts w:ascii="Arial" w:hAnsi="Arial" w:cs="Arial"/>
          <w:sz w:val="24"/>
          <w:szCs w:val="24"/>
        </w:rPr>
        <w:lastRenderedPageBreak/>
        <w:t xml:space="preserve">παρουσιάζουν 300 φορές μεγαλύτερο κίνδυνο ανάπτυξης δωδεκαδακτυλικού καρκινώματος, αλλά όχι μεγαλύτερο κίνδυνο γαστρικού ή </w:t>
      </w:r>
      <w:r w:rsidR="00560A5D">
        <w:rPr>
          <w:rFonts w:ascii="Arial" w:hAnsi="Arial" w:cs="Arial"/>
          <w:sz w:val="24"/>
          <w:szCs w:val="24"/>
        </w:rPr>
        <w:t>μη δωδεκαδακτυλικού καρκινώματος του λεπτού εντέρου.</w:t>
      </w:r>
      <w:r w:rsidR="000B7DDC">
        <w:rPr>
          <w:rFonts w:ascii="Arial" w:hAnsi="Arial" w:cs="Arial"/>
          <w:sz w:val="24"/>
          <w:szCs w:val="24"/>
          <w:vertAlign w:val="superscript"/>
        </w:rPr>
        <w:t>11</w:t>
      </w:r>
      <w:r w:rsidR="000B7DDC">
        <w:rPr>
          <w:rFonts w:ascii="Arial" w:hAnsi="Arial" w:cs="Arial"/>
          <w:sz w:val="24"/>
          <w:szCs w:val="24"/>
        </w:rPr>
        <w:t xml:space="preserve"> </w:t>
      </w:r>
    </w:p>
    <w:p w:rsidR="00C500BB" w:rsidRDefault="00F43754" w:rsidP="00881086">
      <w:pPr>
        <w:spacing w:line="240" w:lineRule="auto"/>
        <w:ind w:firstLine="720"/>
        <w:jc w:val="both"/>
        <w:rPr>
          <w:rFonts w:ascii="Arial" w:hAnsi="Arial" w:cs="Arial"/>
          <w:sz w:val="24"/>
          <w:szCs w:val="24"/>
        </w:rPr>
      </w:pPr>
      <w:r>
        <w:rPr>
          <w:rFonts w:ascii="Arial" w:hAnsi="Arial" w:cs="Arial"/>
          <w:sz w:val="24"/>
          <w:szCs w:val="24"/>
          <w:u w:val="single"/>
        </w:rPr>
        <w:t>Κληρονομικό, μη πολυποδιακό, καρκίνωμα παχέος εντέρου.</w:t>
      </w:r>
      <w:r w:rsidR="0096198A" w:rsidRPr="001868E3">
        <w:rPr>
          <w:rFonts w:ascii="Arial" w:hAnsi="Arial" w:cs="Arial"/>
          <w:sz w:val="24"/>
          <w:szCs w:val="24"/>
        </w:rPr>
        <w:t xml:space="preserve"> </w:t>
      </w:r>
      <w:r w:rsidR="00FF4444">
        <w:rPr>
          <w:rFonts w:ascii="Arial" w:hAnsi="Arial" w:cs="Arial"/>
          <w:sz w:val="24"/>
          <w:szCs w:val="24"/>
        </w:rPr>
        <w:t>Οι ασθενείς με το γενετικό σύνδρομο αυτό, εκτός του παχέος εντέρου, εμφανίζουν επίσης καρκινώματα ενδομητρίου, ωοθηκών, στομάχου, λεπτού εντέρου και ανώτερου ουροποιητικού συστήματος. Ο κίνδυνος ανάπτυξης αδενοκαρκινώματος του λεπτού εντέρου, στους ασθενείς αυτούς, υπολογίζεται ότι είναι 100 φορές μεγαλύτερος από τον κίνδυνο στο γενικό πληθυσμό, εμφανίζεται, όμως, σε μικρότερες ηλικίες και η πρόγνωση είναι καλύτερη σε σχέση με τα σποραδικά αδενοκαρκινώματα του λεπτού εντέρου</w:t>
      </w:r>
      <w:r w:rsidR="00F70326">
        <w:rPr>
          <w:rFonts w:ascii="Arial" w:hAnsi="Arial" w:cs="Arial"/>
          <w:sz w:val="24"/>
          <w:szCs w:val="24"/>
        </w:rPr>
        <w:t>.</w:t>
      </w:r>
    </w:p>
    <w:p w:rsidR="00536229" w:rsidRPr="00E56511" w:rsidRDefault="00536229" w:rsidP="00881086">
      <w:pPr>
        <w:spacing w:line="240" w:lineRule="auto"/>
        <w:ind w:firstLine="720"/>
        <w:jc w:val="both"/>
        <w:rPr>
          <w:rFonts w:ascii="Arial" w:hAnsi="Arial" w:cs="Arial"/>
          <w:sz w:val="24"/>
          <w:szCs w:val="24"/>
        </w:rPr>
      </w:pPr>
      <w:r>
        <w:rPr>
          <w:rFonts w:ascii="Arial" w:hAnsi="Arial" w:cs="Arial"/>
          <w:sz w:val="24"/>
          <w:szCs w:val="24"/>
          <w:u w:val="single"/>
        </w:rPr>
        <w:t xml:space="preserve">Σύνδρομο </w:t>
      </w:r>
      <w:r>
        <w:rPr>
          <w:rFonts w:ascii="Arial" w:hAnsi="Arial" w:cs="Arial"/>
          <w:sz w:val="24"/>
          <w:szCs w:val="24"/>
          <w:u w:val="single"/>
          <w:lang w:val="en-US"/>
        </w:rPr>
        <w:t>Peutz</w:t>
      </w:r>
      <w:r w:rsidRPr="00536229">
        <w:rPr>
          <w:rFonts w:ascii="Arial" w:hAnsi="Arial" w:cs="Arial"/>
          <w:sz w:val="24"/>
          <w:szCs w:val="24"/>
          <w:u w:val="single"/>
        </w:rPr>
        <w:t>-</w:t>
      </w:r>
      <w:r>
        <w:rPr>
          <w:rFonts w:ascii="Arial" w:hAnsi="Arial" w:cs="Arial"/>
          <w:sz w:val="24"/>
          <w:szCs w:val="24"/>
          <w:u w:val="single"/>
          <w:lang w:val="en-US"/>
        </w:rPr>
        <w:t>Jeghers</w:t>
      </w:r>
      <w:r w:rsidRPr="00536229">
        <w:rPr>
          <w:rFonts w:ascii="Arial" w:hAnsi="Arial" w:cs="Arial"/>
          <w:sz w:val="24"/>
          <w:szCs w:val="24"/>
          <w:u w:val="single"/>
        </w:rPr>
        <w:t>.</w:t>
      </w:r>
      <w:r w:rsidRPr="00536229">
        <w:rPr>
          <w:rFonts w:ascii="Arial" w:hAnsi="Arial" w:cs="Arial"/>
          <w:sz w:val="24"/>
          <w:szCs w:val="24"/>
        </w:rPr>
        <w:t xml:space="preserve"> </w:t>
      </w:r>
      <w:r>
        <w:rPr>
          <w:rFonts w:ascii="Arial" w:hAnsi="Arial" w:cs="Arial"/>
          <w:sz w:val="24"/>
          <w:szCs w:val="24"/>
        </w:rPr>
        <w:t>Έχει αναφερθεί ότι η παρουσία του συνδρόμου αυξάνει τον κίνδυνο εμφάνισης καρκίνου του λεπτού εντέρου κατά 18 φορές, σε σχέση με τον γενικό πληθυσμό.</w:t>
      </w:r>
      <w:r w:rsidR="00E56511">
        <w:rPr>
          <w:rFonts w:ascii="Arial" w:hAnsi="Arial" w:cs="Arial"/>
          <w:sz w:val="24"/>
          <w:szCs w:val="24"/>
          <w:vertAlign w:val="superscript"/>
        </w:rPr>
        <w:t>14</w:t>
      </w:r>
    </w:p>
    <w:p w:rsidR="00F70326" w:rsidRDefault="00F70326" w:rsidP="00881086">
      <w:pPr>
        <w:spacing w:line="240" w:lineRule="auto"/>
        <w:ind w:firstLine="720"/>
        <w:jc w:val="both"/>
        <w:rPr>
          <w:rFonts w:ascii="Arial" w:hAnsi="Arial" w:cs="Arial"/>
          <w:b/>
          <w:i/>
          <w:sz w:val="24"/>
          <w:szCs w:val="24"/>
        </w:rPr>
      </w:pPr>
      <w:r>
        <w:rPr>
          <w:rFonts w:ascii="Arial" w:hAnsi="Arial" w:cs="Arial"/>
          <w:b/>
          <w:i/>
          <w:sz w:val="24"/>
          <w:szCs w:val="24"/>
        </w:rPr>
        <w:t>Περιβαλλοντολογικοί παράγοντες κινδύνου</w:t>
      </w:r>
    </w:p>
    <w:p w:rsidR="00F70326" w:rsidRDefault="00F70326" w:rsidP="00881086">
      <w:pPr>
        <w:spacing w:line="240" w:lineRule="auto"/>
        <w:ind w:firstLine="720"/>
        <w:jc w:val="both"/>
        <w:rPr>
          <w:rFonts w:ascii="Arial" w:hAnsi="Arial" w:cs="Arial"/>
          <w:sz w:val="24"/>
          <w:szCs w:val="24"/>
        </w:rPr>
      </w:pPr>
      <w:r>
        <w:rPr>
          <w:rFonts w:ascii="Arial" w:hAnsi="Arial" w:cs="Arial"/>
          <w:sz w:val="24"/>
          <w:szCs w:val="24"/>
          <w:u w:val="single"/>
        </w:rPr>
        <w:t>Δίαιτα.</w:t>
      </w:r>
      <w:r>
        <w:rPr>
          <w:rFonts w:ascii="Arial" w:hAnsi="Arial" w:cs="Arial"/>
          <w:sz w:val="24"/>
          <w:szCs w:val="24"/>
        </w:rPr>
        <w:t xml:space="preserve"> Η υπερκατανάλωση ζωϊκού λίπους, κόκκινου κρέατος, άλατος και καπνιστών τροφών αυξάνει τον κίνδυνο ανάπτυξης καρκινώματος λεπτού εντέρου κατά 2-3 φορές.</w:t>
      </w:r>
      <w:r w:rsidR="006014B5">
        <w:rPr>
          <w:rFonts w:ascii="Arial" w:hAnsi="Arial" w:cs="Arial"/>
          <w:sz w:val="24"/>
          <w:szCs w:val="24"/>
          <w:vertAlign w:val="superscript"/>
        </w:rPr>
        <w:t>12</w:t>
      </w:r>
      <w:r w:rsidR="006014B5">
        <w:rPr>
          <w:rFonts w:ascii="Arial" w:hAnsi="Arial" w:cs="Arial"/>
          <w:sz w:val="24"/>
          <w:szCs w:val="24"/>
        </w:rPr>
        <w:t xml:space="preserve"> </w:t>
      </w:r>
    </w:p>
    <w:p w:rsidR="003371EA" w:rsidRDefault="003371EA" w:rsidP="00881086">
      <w:pPr>
        <w:spacing w:line="240" w:lineRule="auto"/>
        <w:ind w:firstLine="720"/>
        <w:jc w:val="both"/>
        <w:rPr>
          <w:rFonts w:ascii="Arial" w:hAnsi="Arial" w:cs="Arial"/>
          <w:sz w:val="24"/>
          <w:szCs w:val="24"/>
        </w:rPr>
      </w:pPr>
      <w:r>
        <w:rPr>
          <w:rFonts w:ascii="Arial" w:hAnsi="Arial" w:cs="Arial"/>
          <w:sz w:val="24"/>
          <w:szCs w:val="24"/>
          <w:u w:val="single"/>
        </w:rPr>
        <w:t>Καπνός και Αλκοόλ.</w:t>
      </w:r>
      <w:r>
        <w:rPr>
          <w:rFonts w:ascii="Arial" w:hAnsi="Arial" w:cs="Arial"/>
          <w:sz w:val="24"/>
          <w:szCs w:val="24"/>
        </w:rPr>
        <w:t xml:space="preserve"> Σε μια μελέτη βρέθηκε σχέση μεταξύ του καπνίσματος και της κατανάλωσης αλκοόλ και του αδενοκαρκινώματος του λεπτού εντέρου, η οποία, όμως, δεν επιβεβαιώθηκε από άλλες μελέτες.</w:t>
      </w:r>
      <w:r w:rsidR="00B62D05">
        <w:rPr>
          <w:rFonts w:ascii="Arial" w:hAnsi="Arial" w:cs="Arial"/>
          <w:sz w:val="24"/>
          <w:szCs w:val="24"/>
          <w:vertAlign w:val="superscript"/>
        </w:rPr>
        <w:t>13</w:t>
      </w:r>
      <w:r w:rsidR="003C79EB">
        <w:rPr>
          <w:rFonts w:ascii="Arial" w:hAnsi="Arial" w:cs="Arial"/>
          <w:sz w:val="24"/>
          <w:szCs w:val="24"/>
        </w:rPr>
        <w:t xml:space="preserve"> </w:t>
      </w:r>
    </w:p>
    <w:p w:rsidR="006C28C1" w:rsidRDefault="006C28C1" w:rsidP="00881086">
      <w:pPr>
        <w:spacing w:line="240" w:lineRule="auto"/>
        <w:ind w:firstLine="720"/>
        <w:jc w:val="both"/>
        <w:rPr>
          <w:rFonts w:ascii="Arial" w:hAnsi="Arial" w:cs="Arial"/>
          <w:b/>
          <w:i/>
          <w:sz w:val="24"/>
          <w:szCs w:val="24"/>
        </w:rPr>
      </w:pPr>
      <w:r>
        <w:rPr>
          <w:rFonts w:ascii="Arial" w:hAnsi="Arial" w:cs="Arial"/>
          <w:b/>
          <w:i/>
          <w:sz w:val="24"/>
          <w:szCs w:val="24"/>
        </w:rPr>
        <w:t>Προϋπάρχουσες νόσοι ως παράγοντες κινδύνου</w:t>
      </w:r>
    </w:p>
    <w:p w:rsidR="00AA0F4C" w:rsidRDefault="00AA0F4C" w:rsidP="00881086">
      <w:pPr>
        <w:spacing w:line="240" w:lineRule="auto"/>
        <w:ind w:firstLine="720"/>
        <w:jc w:val="both"/>
        <w:rPr>
          <w:rFonts w:ascii="Arial" w:hAnsi="Arial" w:cs="Arial"/>
          <w:sz w:val="24"/>
          <w:szCs w:val="24"/>
        </w:rPr>
      </w:pPr>
      <w:r>
        <w:rPr>
          <w:rFonts w:ascii="Arial" w:hAnsi="Arial" w:cs="Arial"/>
          <w:sz w:val="24"/>
          <w:szCs w:val="24"/>
          <w:u w:val="single"/>
        </w:rPr>
        <w:t>Νόσος Crohn.</w:t>
      </w:r>
      <w:r w:rsidRPr="00AA0F4C">
        <w:rPr>
          <w:rFonts w:ascii="Arial" w:hAnsi="Arial" w:cs="Arial"/>
          <w:sz w:val="24"/>
          <w:szCs w:val="24"/>
        </w:rPr>
        <w:t xml:space="preserve"> </w:t>
      </w:r>
      <w:r>
        <w:rPr>
          <w:rFonts w:ascii="Arial" w:hAnsi="Arial" w:cs="Arial"/>
          <w:sz w:val="24"/>
          <w:szCs w:val="24"/>
        </w:rPr>
        <w:t xml:space="preserve">Η παρουσία της νόσου υπολογίζεται ότι αυξάνει τον κίνδυνο εμφάνισης αδενοκαρκινώματος στο λεπτό έντερο κατά 15 έως πάνω από 100 φορές. Αντίθετα με ότι συμβαίνει γενικά, τα αδενοκαρκινώματα που σχετίζονται με τη νόσο του Crohn εμφανίζονται συχνότερα στον ειλεό ακολουθώντας την κατανομή της νόσου. Ο κίνδυνος ανάπτυξης του αδενοκαρκινώματος </w:t>
      </w:r>
      <w:r w:rsidR="00595D3A">
        <w:rPr>
          <w:rFonts w:ascii="Arial" w:hAnsi="Arial" w:cs="Arial"/>
          <w:sz w:val="24"/>
          <w:szCs w:val="24"/>
        </w:rPr>
        <w:t>αρχίζει να αυξάνεται τουλάχιστον 10 χρόνια μετά την εμφάνιση της Crohn και τυπικά το αδενοκαρκίνωμα αναπτύσσεται μετά επιπλέον 20 χρόνια.</w:t>
      </w:r>
    </w:p>
    <w:p w:rsidR="00CF5912" w:rsidRDefault="00595D3A" w:rsidP="00881086">
      <w:pPr>
        <w:spacing w:line="240" w:lineRule="auto"/>
        <w:ind w:firstLine="720"/>
        <w:jc w:val="both"/>
        <w:rPr>
          <w:rFonts w:ascii="Arial" w:hAnsi="Arial" w:cs="Arial"/>
          <w:sz w:val="24"/>
          <w:szCs w:val="24"/>
        </w:rPr>
      </w:pPr>
      <w:r>
        <w:rPr>
          <w:rFonts w:ascii="Arial" w:hAnsi="Arial" w:cs="Arial"/>
          <w:sz w:val="24"/>
          <w:szCs w:val="24"/>
          <w:u w:val="single"/>
        </w:rPr>
        <w:t xml:space="preserve">Κοιλιοκάκη (μη τροπικό </w:t>
      </w:r>
      <w:r>
        <w:rPr>
          <w:rFonts w:ascii="Arial" w:hAnsi="Arial" w:cs="Arial"/>
          <w:sz w:val="24"/>
          <w:szCs w:val="24"/>
          <w:u w:val="single"/>
          <w:lang w:val="en-US"/>
        </w:rPr>
        <w:t>sprue</w:t>
      </w:r>
      <w:r w:rsidRPr="003B0003">
        <w:rPr>
          <w:rFonts w:ascii="Arial" w:hAnsi="Arial" w:cs="Arial"/>
          <w:sz w:val="24"/>
          <w:szCs w:val="24"/>
          <w:u w:val="single"/>
        </w:rPr>
        <w:t>).</w:t>
      </w:r>
      <w:r w:rsidR="003B0003" w:rsidRPr="003B0003">
        <w:rPr>
          <w:rFonts w:ascii="Arial" w:hAnsi="Arial" w:cs="Arial"/>
          <w:sz w:val="24"/>
          <w:szCs w:val="24"/>
        </w:rPr>
        <w:t xml:space="preserve"> Οι ασθενε</w:t>
      </w:r>
      <w:r w:rsidR="003B0003">
        <w:rPr>
          <w:rFonts w:ascii="Arial" w:hAnsi="Arial" w:cs="Arial"/>
          <w:sz w:val="24"/>
          <w:szCs w:val="24"/>
        </w:rPr>
        <w:t>ίς με τη νόσο αυτή αποδείχθηκε ότι παρουσιάζουν αυξημένο κίνδυνο εμφάνισης λεμφώματος και αδενοκαρκινώματος του λεπτού εντέρου. Υπολογίσθηκε ότι ο κίνδυνος αυτός είναι 300 φορές μεγαλύτερος για το λέμφωμα και 67 φορές μεγαλύτερος για το αδενοκαρκίνωμα. Ευτυχές γεγονός, όμως, είναι</w:t>
      </w:r>
      <w:r w:rsidR="008F341C">
        <w:rPr>
          <w:rFonts w:ascii="Arial" w:hAnsi="Arial" w:cs="Arial"/>
          <w:sz w:val="24"/>
          <w:szCs w:val="24"/>
        </w:rPr>
        <w:t xml:space="preserve"> ότι</w:t>
      </w:r>
      <w:r w:rsidR="003B0003">
        <w:rPr>
          <w:rFonts w:ascii="Arial" w:hAnsi="Arial" w:cs="Arial"/>
          <w:sz w:val="24"/>
          <w:szCs w:val="24"/>
        </w:rPr>
        <w:t xml:space="preserve"> το</w:t>
      </w:r>
      <w:r w:rsidR="008F341C">
        <w:rPr>
          <w:rFonts w:ascii="Arial" w:hAnsi="Arial" w:cs="Arial"/>
          <w:sz w:val="24"/>
          <w:szCs w:val="24"/>
        </w:rPr>
        <w:t xml:space="preserve"> αδενοκαρκίνωμα</w:t>
      </w:r>
      <w:r w:rsidR="003B0003">
        <w:rPr>
          <w:rFonts w:ascii="Arial" w:hAnsi="Arial" w:cs="Arial"/>
          <w:sz w:val="24"/>
          <w:szCs w:val="24"/>
        </w:rPr>
        <w:t xml:space="preserve"> διαγιγνώσκεται σε </w:t>
      </w:r>
      <w:r w:rsidR="008F341C">
        <w:rPr>
          <w:rFonts w:ascii="Arial" w:hAnsi="Arial" w:cs="Arial"/>
          <w:sz w:val="24"/>
          <w:szCs w:val="24"/>
        </w:rPr>
        <w:t>πρωϊμότερα στάδια και ως εκ τούτου έχει καλύτερη πρόγνωση.</w:t>
      </w:r>
      <w:r w:rsidR="00601E61">
        <w:rPr>
          <w:rFonts w:ascii="Arial" w:hAnsi="Arial" w:cs="Arial"/>
          <w:sz w:val="24"/>
          <w:szCs w:val="24"/>
          <w:vertAlign w:val="superscript"/>
        </w:rPr>
        <w:t>15</w:t>
      </w:r>
      <w:r w:rsidR="00601E61">
        <w:rPr>
          <w:rFonts w:ascii="Arial" w:hAnsi="Arial" w:cs="Arial"/>
          <w:sz w:val="24"/>
          <w:szCs w:val="24"/>
        </w:rPr>
        <w:t xml:space="preserve"> </w:t>
      </w:r>
    </w:p>
    <w:p w:rsidR="00CF5912" w:rsidRDefault="00CF5912" w:rsidP="00881086">
      <w:pPr>
        <w:spacing w:line="240" w:lineRule="auto"/>
        <w:ind w:firstLine="720"/>
        <w:jc w:val="both"/>
        <w:rPr>
          <w:rFonts w:ascii="Arial" w:hAnsi="Arial" w:cs="Arial"/>
          <w:b/>
          <w:i/>
          <w:sz w:val="24"/>
          <w:szCs w:val="24"/>
        </w:rPr>
      </w:pPr>
      <w:r>
        <w:rPr>
          <w:rFonts w:ascii="Arial" w:hAnsi="Arial" w:cs="Arial"/>
          <w:b/>
          <w:i/>
          <w:sz w:val="24"/>
          <w:szCs w:val="24"/>
        </w:rPr>
        <w:t>Διαγνωστική προσέγγιση</w:t>
      </w:r>
    </w:p>
    <w:p w:rsidR="004F40FA" w:rsidRDefault="00CF5912" w:rsidP="00881086">
      <w:pPr>
        <w:spacing w:line="240" w:lineRule="auto"/>
        <w:ind w:firstLine="720"/>
        <w:jc w:val="both"/>
        <w:rPr>
          <w:rFonts w:ascii="Arial" w:hAnsi="Arial" w:cs="Arial"/>
          <w:sz w:val="24"/>
          <w:szCs w:val="24"/>
        </w:rPr>
      </w:pPr>
      <w:r>
        <w:rPr>
          <w:rFonts w:ascii="Arial" w:hAnsi="Arial" w:cs="Arial"/>
          <w:sz w:val="24"/>
          <w:szCs w:val="24"/>
          <w:u w:val="single"/>
        </w:rPr>
        <w:t>Εργαστηριακές</w:t>
      </w:r>
      <w:r w:rsidRPr="00CF5912">
        <w:rPr>
          <w:rFonts w:ascii="Arial" w:hAnsi="Arial" w:cs="Arial"/>
          <w:sz w:val="24"/>
          <w:szCs w:val="24"/>
          <w:u w:val="single"/>
        </w:rPr>
        <w:t xml:space="preserve"> </w:t>
      </w:r>
      <w:r>
        <w:rPr>
          <w:rFonts w:ascii="Arial" w:hAnsi="Arial" w:cs="Arial"/>
          <w:sz w:val="24"/>
          <w:szCs w:val="24"/>
          <w:u w:val="single"/>
        </w:rPr>
        <w:t>εξετάσεις</w:t>
      </w:r>
      <w:r w:rsidRPr="004F40FA">
        <w:rPr>
          <w:rFonts w:ascii="Arial" w:hAnsi="Arial" w:cs="Arial"/>
          <w:sz w:val="24"/>
          <w:szCs w:val="24"/>
        </w:rPr>
        <w:t xml:space="preserve"> </w:t>
      </w:r>
    </w:p>
    <w:p w:rsidR="004F40FA" w:rsidRDefault="00CF5912" w:rsidP="00881086">
      <w:pPr>
        <w:spacing w:line="240" w:lineRule="auto"/>
        <w:ind w:firstLine="720"/>
        <w:jc w:val="both"/>
        <w:rPr>
          <w:rFonts w:ascii="Arial" w:hAnsi="Arial" w:cs="Arial"/>
          <w:sz w:val="24"/>
          <w:szCs w:val="24"/>
        </w:rPr>
      </w:pPr>
      <w:r>
        <w:rPr>
          <w:rFonts w:ascii="Arial" w:hAnsi="Arial" w:cs="Arial"/>
          <w:sz w:val="24"/>
          <w:szCs w:val="24"/>
        </w:rPr>
        <w:t xml:space="preserve">Η αιματολογική εξέταση μπορεί να αναδείξει ήπια αναιμία αποτέλεσμα της χρόνιας απώλειας αίματος. </w:t>
      </w:r>
    </w:p>
    <w:p w:rsidR="004F40FA" w:rsidRDefault="00CF5912" w:rsidP="00881086">
      <w:pPr>
        <w:spacing w:line="240" w:lineRule="auto"/>
        <w:ind w:firstLine="720"/>
        <w:jc w:val="both"/>
        <w:rPr>
          <w:rFonts w:ascii="Arial" w:hAnsi="Arial" w:cs="Arial"/>
          <w:sz w:val="24"/>
          <w:szCs w:val="24"/>
        </w:rPr>
      </w:pPr>
      <w:r>
        <w:rPr>
          <w:rFonts w:ascii="Arial" w:hAnsi="Arial" w:cs="Arial"/>
          <w:sz w:val="24"/>
          <w:szCs w:val="24"/>
        </w:rPr>
        <w:lastRenderedPageBreak/>
        <w:t>Εξετάσεις της ηπατικής λειτουργίας εμφανίζουν υπερχολερυθριναιμία</w:t>
      </w:r>
      <w:r w:rsidR="0095796D">
        <w:rPr>
          <w:rFonts w:ascii="Arial" w:hAnsi="Arial" w:cs="Arial"/>
          <w:sz w:val="24"/>
          <w:szCs w:val="24"/>
        </w:rPr>
        <w:t>,</w:t>
      </w:r>
      <w:r>
        <w:rPr>
          <w:rFonts w:ascii="Arial" w:hAnsi="Arial" w:cs="Arial"/>
          <w:sz w:val="24"/>
          <w:szCs w:val="24"/>
        </w:rPr>
        <w:t xml:space="preserve"> σε περίπτωση απόφραξης των εξωηπατικών χοληφόρων από περιληκυθικά αδενοκαρκινώματα. Αύξηση των τρανσαμινασών παρατηρείται επί παρουσίας ηπατικών μεταστάσεων. </w:t>
      </w:r>
    </w:p>
    <w:p w:rsidR="00D308A8" w:rsidRDefault="00CF5912" w:rsidP="00881086">
      <w:pPr>
        <w:spacing w:line="240" w:lineRule="auto"/>
        <w:ind w:firstLine="720"/>
        <w:jc w:val="both"/>
        <w:rPr>
          <w:rFonts w:ascii="Arial" w:hAnsi="Arial" w:cs="Arial"/>
          <w:sz w:val="24"/>
          <w:szCs w:val="24"/>
        </w:rPr>
      </w:pPr>
      <w:r>
        <w:rPr>
          <w:rFonts w:ascii="Arial" w:hAnsi="Arial" w:cs="Arial"/>
          <w:sz w:val="24"/>
          <w:szCs w:val="24"/>
        </w:rPr>
        <w:t>Το καρκινοεμβρυϊκό αντιγόνο (CEA) μπορεί να είναι αυξημένο.</w:t>
      </w:r>
    </w:p>
    <w:p w:rsidR="004F40FA" w:rsidRDefault="00D308A8" w:rsidP="00881086">
      <w:pPr>
        <w:spacing w:line="240" w:lineRule="auto"/>
        <w:ind w:firstLine="720"/>
        <w:jc w:val="both"/>
        <w:rPr>
          <w:rFonts w:ascii="Arial" w:hAnsi="Arial" w:cs="Arial"/>
          <w:sz w:val="24"/>
          <w:szCs w:val="24"/>
        </w:rPr>
      </w:pPr>
      <w:r>
        <w:rPr>
          <w:rFonts w:ascii="Arial" w:hAnsi="Arial" w:cs="Arial"/>
          <w:sz w:val="24"/>
          <w:szCs w:val="24"/>
          <w:u w:val="single"/>
        </w:rPr>
        <w:t>Απεικονιστικές</w:t>
      </w:r>
      <w:r w:rsidRPr="004F40FA">
        <w:rPr>
          <w:rFonts w:ascii="Arial" w:hAnsi="Arial" w:cs="Arial"/>
          <w:sz w:val="24"/>
          <w:szCs w:val="24"/>
          <w:u w:val="single"/>
        </w:rPr>
        <w:t xml:space="preserve"> </w:t>
      </w:r>
      <w:r>
        <w:rPr>
          <w:rFonts w:ascii="Arial" w:hAnsi="Arial" w:cs="Arial"/>
          <w:sz w:val="24"/>
          <w:szCs w:val="24"/>
          <w:u w:val="single"/>
        </w:rPr>
        <w:t>εξετάσεις</w:t>
      </w:r>
      <w:r w:rsidR="004F40FA" w:rsidRPr="004F40FA">
        <w:rPr>
          <w:rFonts w:ascii="Arial" w:hAnsi="Arial" w:cs="Arial"/>
          <w:sz w:val="24"/>
          <w:szCs w:val="24"/>
        </w:rPr>
        <w:t xml:space="preserve"> </w:t>
      </w:r>
    </w:p>
    <w:p w:rsidR="00595D3A" w:rsidRDefault="004F40FA" w:rsidP="00881086">
      <w:pPr>
        <w:spacing w:line="240" w:lineRule="auto"/>
        <w:ind w:firstLine="720"/>
        <w:jc w:val="both"/>
        <w:rPr>
          <w:rFonts w:ascii="Arial" w:hAnsi="Arial" w:cs="Arial"/>
          <w:sz w:val="24"/>
          <w:szCs w:val="24"/>
        </w:rPr>
      </w:pPr>
      <w:r w:rsidRPr="004F40FA">
        <w:rPr>
          <w:rFonts w:ascii="Arial" w:hAnsi="Arial" w:cs="Arial"/>
          <w:sz w:val="24"/>
          <w:szCs w:val="24"/>
        </w:rPr>
        <w:t>Η ακτινογραφ</w:t>
      </w:r>
      <w:r>
        <w:rPr>
          <w:rFonts w:ascii="Arial" w:hAnsi="Arial" w:cs="Arial"/>
          <w:sz w:val="24"/>
          <w:szCs w:val="24"/>
        </w:rPr>
        <w:t>ία κοιλίας μπορεί να αποκαλύψει μερική ή πλήρη εντερική απόφραξη.</w:t>
      </w:r>
    </w:p>
    <w:p w:rsidR="004F40FA" w:rsidRDefault="004F40FA" w:rsidP="00881086">
      <w:pPr>
        <w:spacing w:line="240" w:lineRule="auto"/>
        <w:ind w:firstLine="720"/>
        <w:jc w:val="both"/>
        <w:rPr>
          <w:rFonts w:ascii="Arial" w:hAnsi="Arial" w:cs="Arial"/>
          <w:sz w:val="24"/>
          <w:szCs w:val="24"/>
        </w:rPr>
      </w:pPr>
      <w:r>
        <w:rPr>
          <w:rFonts w:ascii="Arial" w:hAnsi="Arial" w:cs="Arial"/>
          <w:sz w:val="24"/>
          <w:szCs w:val="24"/>
        </w:rPr>
        <w:t>Η ακτινολογική απεικόνιση του ανώτερου πεπτικού μετά χορήγηση σκιαγραφικής ουσίας και καθυστερημένες λήψεις για απεικόνιση του λεπτού εντέρου αναδεικνύουν διαταραχές στο 53-83% των ασθενών με καρκίνωμα του λεπτού εντέρου.</w:t>
      </w:r>
    </w:p>
    <w:p w:rsidR="00203837" w:rsidRDefault="004F40FA" w:rsidP="00881086">
      <w:pPr>
        <w:spacing w:line="240" w:lineRule="auto"/>
        <w:ind w:firstLine="720"/>
        <w:jc w:val="both"/>
        <w:rPr>
          <w:rFonts w:ascii="Arial" w:hAnsi="Arial" w:cs="Arial"/>
          <w:sz w:val="24"/>
          <w:szCs w:val="24"/>
        </w:rPr>
      </w:pPr>
      <w:r>
        <w:rPr>
          <w:rFonts w:ascii="Arial" w:hAnsi="Arial" w:cs="Arial"/>
          <w:sz w:val="24"/>
          <w:szCs w:val="24"/>
        </w:rPr>
        <w:t xml:space="preserve">Η εντερόκλυση του λεπτού εντέρου, η οποία εκτελείται </w:t>
      </w:r>
      <w:r w:rsidR="00203837">
        <w:rPr>
          <w:rFonts w:ascii="Arial" w:hAnsi="Arial" w:cs="Arial"/>
          <w:sz w:val="24"/>
          <w:szCs w:val="24"/>
        </w:rPr>
        <w:t>με διπλής αντίθεσης βαριούχο υποκλυσμό, εμφανίζει ευαισθησία 95% στην ανάδειξη του προβλήματος, αλλά έχει δυσκολίες στην εκτέλεσή της, καθώς απαιτείται η εισαγωγή στο λεπτό έντερο ενός μεγάλου μήκους σωλήνα για την εμφύσηση του αέρα και τη χορήγηση του σκιαγραφικού.</w:t>
      </w:r>
    </w:p>
    <w:p w:rsidR="00203837" w:rsidRDefault="00203837" w:rsidP="00881086">
      <w:pPr>
        <w:spacing w:line="240" w:lineRule="auto"/>
        <w:ind w:firstLine="720"/>
        <w:jc w:val="both"/>
        <w:rPr>
          <w:rFonts w:ascii="Arial" w:hAnsi="Arial" w:cs="Arial"/>
          <w:sz w:val="24"/>
          <w:szCs w:val="24"/>
        </w:rPr>
      </w:pPr>
      <w:r>
        <w:rPr>
          <w:rFonts w:ascii="Arial" w:hAnsi="Arial" w:cs="Arial"/>
          <w:sz w:val="24"/>
          <w:szCs w:val="24"/>
        </w:rPr>
        <w:t>Η αξονική τομογραφία κοιλίας είναι δυνατό να αναδείξει τη θέση και την έκταση της τοπικής νόσου και την παρουσία ηπατικών μεταστάσεων.</w:t>
      </w:r>
    </w:p>
    <w:p w:rsidR="00203837" w:rsidRDefault="00203837" w:rsidP="00881086">
      <w:pPr>
        <w:spacing w:line="240" w:lineRule="auto"/>
        <w:ind w:firstLine="720"/>
        <w:jc w:val="both"/>
        <w:rPr>
          <w:rFonts w:ascii="Arial" w:hAnsi="Arial" w:cs="Arial"/>
          <w:sz w:val="24"/>
          <w:szCs w:val="24"/>
          <w:u w:val="single"/>
        </w:rPr>
      </w:pPr>
      <w:r>
        <w:rPr>
          <w:rFonts w:ascii="Arial" w:hAnsi="Arial" w:cs="Arial"/>
          <w:sz w:val="24"/>
          <w:szCs w:val="24"/>
          <w:u w:val="single"/>
        </w:rPr>
        <w:t>Ενδοσκοπικές</w:t>
      </w:r>
      <w:r w:rsidRPr="007B4E8F">
        <w:rPr>
          <w:rFonts w:ascii="Arial" w:hAnsi="Arial" w:cs="Arial"/>
          <w:sz w:val="24"/>
          <w:szCs w:val="24"/>
          <w:u w:val="single"/>
        </w:rPr>
        <w:t xml:space="preserve"> </w:t>
      </w:r>
      <w:r>
        <w:rPr>
          <w:rFonts w:ascii="Arial" w:hAnsi="Arial" w:cs="Arial"/>
          <w:sz w:val="24"/>
          <w:szCs w:val="24"/>
          <w:u w:val="single"/>
        </w:rPr>
        <w:t>εξετάσεις</w:t>
      </w:r>
    </w:p>
    <w:p w:rsidR="001E17B4" w:rsidRDefault="007B4E8F" w:rsidP="00881086">
      <w:pPr>
        <w:spacing w:line="240" w:lineRule="auto"/>
        <w:ind w:firstLine="720"/>
        <w:jc w:val="both"/>
        <w:rPr>
          <w:rFonts w:ascii="Arial" w:hAnsi="Arial" w:cs="Arial"/>
          <w:sz w:val="24"/>
          <w:szCs w:val="24"/>
        </w:rPr>
      </w:pPr>
      <w:r>
        <w:rPr>
          <w:rFonts w:ascii="Arial" w:hAnsi="Arial" w:cs="Arial"/>
          <w:sz w:val="24"/>
          <w:szCs w:val="24"/>
        </w:rPr>
        <w:t>Η ενδοσκόπηση του ανώτερου πεπτικού με εντεροσκόπηση του λεπτού εντέρου (push enteroscopy) μπορεί να αποκαλύψει βλάβες στο δωδεκαδάκτυλο και στη νήστιδα επιτρέποντας, συγχρόνως, τη λήψη βιοψιών. Η μέθοδος εμφανίζει δυσκολίες καθώς το ενδοσκόπιο είναι μεγάλου μήκους με δυσχέρεια στο χειρισμό του και η εξέταση απαιτεί πολύ χρόνο.</w:t>
      </w:r>
    </w:p>
    <w:p w:rsidR="00222E2E" w:rsidRDefault="001E17B4" w:rsidP="00881086">
      <w:pPr>
        <w:spacing w:line="240" w:lineRule="auto"/>
        <w:ind w:firstLine="720"/>
        <w:jc w:val="both"/>
        <w:rPr>
          <w:rFonts w:ascii="Arial" w:hAnsi="Arial" w:cs="Arial"/>
          <w:sz w:val="24"/>
          <w:szCs w:val="24"/>
        </w:rPr>
      </w:pPr>
      <w:r>
        <w:rPr>
          <w:rFonts w:ascii="Arial" w:hAnsi="Arial" w:cs="Arial"/>
          <w:sz w:val="24"/>
          <w:szCs w:val="24"/>
        </w:rPr>
        <w:t xml:space="preserve">Η κολοσκόπηση </w:t>
      </w:r>
      <w:r w:rsidR="00222E2E">
        <w:rPr>
          <w:rFonts w:ascii="Arial" w:hAnsi="Arial" w:cs="Arial"/>
          <w:sz w:val="24"/>
          <w:szCs w:val="24"/>
        </w:rPr>
        <w:t>με ανάστροφη ειλεοσκόπηση αποδεικνύεται χρήσιμη στην ανάδειξη όγκων που εντοπίζονται στον ειλεό.</w:t>
      </w:r>
    </w:p>
    <w:p w:rsidR="00AC1F15" w:rsidRDefault="00222E2E" w:rsidP="00881086">
      <w:pPr>
        <w:spacing w:line="240" w:lineRule="auto"/>
        <w:ind w:firstLine="720"/>
        <w:jc w:val="both"/>
        <w:rPr>
          <w:rFonts w:ascii="Arial" w:hAnsi="Arial" w:cs="Arial"/>
          <w:sz w:val="24"/>
          <w:szCs w:val="24"/>
        </w:rPr>
      </w:pPr>
      <w:r>
        <w:rPr>
          <w:rFonts w:ascii="Arial" w:hAnsi="Arial" w:cs="Arial"/>
          <w:sz w:val="24"/>
          <w:szCs w:val="24"/>
        </w:rPr>
        <w:t>Η ενδοσκόπηση με κατάποση καταγραφικής κάψουλας αποδείχθηκε χρήσιμη κυρίως σε περιπτώσεις υποκλινικής αιμορραγίας του πεπτικού. Ο Cobrin απέδειξε</w:t>
      </w:r>
      <w:r w:rsidR="001328C5">
        <w:rPr>
          <w:rFonts w:ascii="Arial" w:hAnsi="Arial" w:cs="Arial"/>
          <w:sz w:val="24"/>
          <w:szCs w:val="24"/>
        </w:rPr>
        <w:t>, με τη χρήση της μεθόδου αυτής</w:t>
      </w:r>
      <w:r>
        <w:rPr>
          <w:rFonts w:ascii="Arial" w:hAnsi="Arial" w:cs="Arial"/>
          <w:sz w:val="24"/>
          <w:szCs w:val="24"/>
        </w:rPr>
        <w:t xml:space="preserve"> οτι</w:t>
      </w:r>
      <w:r w:rsidR="001328C5">
        <w:rPr>
          <w:rFonts w:ascii="Arial" w:hAnsi="Arial" w:cs="Arial"/>
          <w:sz w:val="24"/>
          <w:szCs w:val="24"/>
        </w:rPr>
        <w:t>,</w:t>
      </w:r>
      <w:r w:rsidR="008327AD">
        <w:rPr>
          <w:rFonts w:ascii="Arial" w:hAnsi="Arial" w:cs="Arial"/>
          <w:sz w:val="24"/>
          <w:szCs w:val="24"/>
        </w:rPr>
        <w:t xml:space="preserve"> το</w:t>
      </w:r>
      <w:r>
        <w:rPr>
          <w:rFonts w:ascii="Arial" w:hAnsi="Arial" w:cs="Arial"/>
          <w:sz w:val="24"/>
          <w:szCs w:val="24"/>
        </w:rPr>
        <w:t xml:space="preserve"> 9% των περιπτώσεων υποκλινικής αιμορραγίας του πεπτικού οφείλεται σε όγκους του λεπτού εντέρου.</w:t>
      </w:r>
      <w:r w:rsidR="00723B73">
        <w:rPr>
          <w:rFonts w:ascii="Arial" w:hAnsi="Arial" w:cs="Arial"/>
          <w:sz w:val="24"/>
          <w:szCs w:val="24"/>
          <w:vertAlign w:val="superscript"/>
        </w:rPr>
        <w:t>16</w:t>
      </w:r>
      <w:r w:rsidR="00723B73">
        <w:rPr>
          <w:rFonts w:ascii="Arial" w:hAnsi="Arial" w:cs="Arial"/>
          <w:sz w:val="24"/>
          <w:szCs w:val="24"/>
        </w:rPr>
        <w:t xml:space="preserve"> </w:t>
      </w:r>
    </w:p>
    <w:p w:rsidR="00AC1F15" w:rsidRDefault="00AC1F15" w:rsidP="00881086">
      <w:pPr>
        <w:spacing w:line="240" w:lineRule="auto"/>
        <w:ind w:firstLine="720"/>
        <w:jc w:val="both"/>
        <w:rPr>
          <w:rFonts w:ascii="Arial" w:hAnsi="Arial" w:cs="Arial"/>
          <w:sz w:val="24"/>
          <w:szCs w:val="24"/>
        </w:rPr>
      </w:pPr>
      <w:r>
        <w:rPr>
          <w:rFonts w:ascii="Arial" w:hAnsi="Arial" w:cs="Arial"/>
          <w:sz w:val="24"/>
          <w:szCs w:val="24"/>
          <w:u w:val="single"/>
        </w:rPr>
        <w:t>Άλλες εξετάσεις</w:t>
      </w:r>
    </w:p>
    <w:p w:rsidR="002E47BA" w:rsidRDefault="00AC1F15" w:rsidP="00881086">
      <w:pPr>
        <w:spacing w:line="240" w:lineRule="auto"/>
        <w:ind w:firstLine="720"/>
        <w:jc w:val="both"/>
        <w:rPr>
          <w:rFonts w:ascii="Arial" w:hAnsi="Arial" w:cs="Arial"/>
          <w:sz w:val="24"/>
          <w:szCs w:val="24"/>
        </w:rPr>
      </w:pPr>
      <w:r>
        <w:rPr>
          <w:rFonts w:ascii="Arial" w:hAnsi="Arial" w:cs="Arial"/>
          <w:sz w:val="24"/>
          <w:szCs w:val="24"/>
        </w:rPr>
        <w:t xml:space="preserve">Στις σπάνιες περιπτώσεις αιμορραγίας που οφείλεται σε όγκους του λεπτού εντέρου, οι διαγνωστικοί χειρισμοί είναι ίδιοι με αυτούς της αιμορραγίας του κατώτερου πεπτικού. Συγκεκριμένα, στην περίπτωση αρνητικής ενδοσκόπησης του ανώτερου και του κατώτερου πεπτικού, το σπινθηρογράφημα με σεσημασμένα ερυθρά αιμοσφαίρια και η εκλεκτική αγγειογραφία μπορούν να αποδειχθούν χρήσιμες εξετάσεις για τον εντοπισμό της </w:t>
      </w:r>
      <w:r w:rsidR="002E47BA">
        <w:rPr>
          <w:rFonts w:ascii="Arial" w:hAnsi="Arial" w:cs="Arial"/>
          <w:sz w:val="24"/>
          <w:szCs w:val="24"/>
        </w:rPr>
        <w:t>γενεσιουργού αιτίας.</w:t>
      </w:r>
    </w:p>
    <w:p w:rsidR="002E47BA" w:rsidRDefault="002E47BA" w:rsidP="00881086">
      <w:pPr>
        <w:spacing w:line="240" w:lineRule="auto"/>
        <w:ind w:firstLine="720"/>
        <w:jc w:val="both"/>
        <w:rPr>
          <w:rFonts w:ascii="Arial" w:hAnsi="Arial" w:cs="Arial"/>
          <w:b/>
          <w:i/>
          <w:sz w:val="24"/>
          <w:szCs w:val="24"/>
        </w:rPr>
      </w:pPr>
    </w:p>
    <w:p w:rsidR="002E47BA" w:rsidRDefault="002E47BA" w:rsidP="00881086">
      <w:pPr>
        <w:spacing w:line="240" w:lineRule="auto"/>
        <w:ind w:firstLine="720"/>
        <w:jc w:val="both"/>
        <w:rPr>
          <w:rFonts w:ascii="Arial" w:hAnsi="Arial" w:cs="Arial"/>
          <w:sz w:val="24"/>
          <w:szCs w:val="24"/>
        </w:rPr>
      </w:pPr>
      <w:r>
        <w:rPr>
          <w:rFonts w:ascii="Arial" w:hAnsi="Arial" w:cs="Arial"/>
          <w:b/>
          <w:i/>
          <w:sz w:val="24"/>
          <w:szCs w:val="24"/>
        </w:rPr>
        <w:lastRenderedPageBreak/>
        <w:t>Σταδιοποίηση</w:t>
      </w:r>
    </w:p>
    <w:p w:rsidR="002E47BA" w:rsidRPr="00AB326F" w:rsidRDefault="002E47BA" w:rsidP="00881086">
      <w:pPr>
        <w:spacing w:line="240" w:lineRule="auto"/>
        <w:ind w:firstLine="720"/>
        <w:jc w:val="both"/>
        <w:rPr>
          <w:rFonts w:ascii="Arial" w:hAnsi="Arial" w:cs="Arial"/>
          <w:sz w:val="24"/>
          <w:szCs w:val="24"/>
        </w:rPr>
      </w:pPr>
      <w:r>
        <w:rPr>
          <w:rFonts w:ascii="Arial" w:hAnsi="Arial" w:cs="Arial"/>
          <w:sz w:val="24"/>
          <w:szCs w:val="24"/>
        </w:rPr>
        <w:t>Ακολουθείται</w:t>
      </w:r>
      <w:r w:rsidRPr="00AB326F">
        <w:rPr>
          <w:rFonts w:ascii="Arial" w:hAnsi="Arial" w:cs="Arial"/>
          <w:sz w:val="24"/>
          <w:szCs w:val="24"/>
        </w:rPr>
        <w:t xml:space="preserve"> </w:t>
      </w:r>
      <w:r>
        <w:rPr>
          <w:rFonts w:ascii="Arial" w:hAnsi="Arial" w:cs="Arial"/>
          <w:sz w:val="24"/>
          <w:szCs w:val="24"/>
        </w:rPr>
        <w:t>το</w:t>
      </w:r>
      <w:r w:rsidRPr="00AB326F">
        <w:rPr>
          <w:rFonts w:ascii="Arial" w:hAnsi="Arial" w:cs="Arial"/>
          <w:sz w:val="24"/>
          <w:szCs w:val="24"/>
        </w:rPr>
        <w:t xml:space="preserve"> </w:t>
      </w:r>
      <w:r>
        <w:rPr>
          <w:rFonts w:ascii="Arial" w:hAnsi="Arial" w:cs="Arial"/>
          <w:sz w:val="24"/>
          <w:szCs w:val="24"/>
        </w:rPr>
        <w:t>ΤΝΜ</w:t>
      </w:r>
      <w:r w:rsidRPr="00AB326F">
        <w:rPr>
          <w:rFonts w:ascii="Arial" w:hAnsi="Arial" w:cs="Arial"/>
          <w:sz w:val="24"/>
          <w:szCs w:val="24"/>
        </w:rPr>
        <w:t xml:space="preserve"> </w:t>
      </w:r>
      <w:r>
        <w:rPr>
          <w:rFonts w:ascii="Arial" w:hAnsi="Arial" w:cs="Arial"/>
          <w:sz w:val="24"/>
          <w:szCs w:val="24"/>
        </w:rPr>
        <w:t>σύστημα</w:t>
      </w:r>
      <w:r w:rsidRPr="00AB326F">
        <w:rPr>
          <w:rFonts w:ascii="Arial" w:hAnsi="Arial" w:cs="Arial"/>
          <w:sz w:val="24"/>
          <w:szCs w:val="24"/>
        </w:rPr>
        <w:t xml:space="preserve"> </w:t>
      </w:r>
      <w:r>
        <w:rPr>
          <w:rFonts w:ascii="Arial" w:hAnsi="Arial" w:cs="Arial"/>
          <w:sz w:val="24"/>
          <w:szCs w:val="24"/>
        </w:rPr>
        <w:t>της</w:t>
      </w:r>
      <w:r w:rsidRPr="00AB326F">
        <w:rPr>
          <w:rFonts w:ascii="Arial" w:hAnsi="Arial" w:cs="Arial"/>
          <w:sz w:val="24"/>
          <w:szCs w:val="24"/>
        </w:rPr>
        <w:t xml:space="preserve"> </w:t>
      </w:r>
      <w:r w:rsidRPr="002E47BA">
        <w:rPr>
          <w:rFonts w:ascii="Arial" w:hAnsi="Arial" w:cs="Arial"/>
          <w:sz w:val="24"/>
          <w:szCs w:val="24"/>
          <w:lang w:val="en-US"/>
        </w:rPr>
        <w:t>American</w:t>
      </w:r>
      <w:r w:rsidRPr="00AB326F">
        <w:rPr>
          <w:rFonts w:ascii="Arial" w:hAnsi="Arial" w:cs="Arial"/>
          <w:sz w:val="24"/>
          <w:szCs w:val="24"/>
        </w:rPr>
        <w:t xml:space="preserve"> </w:t>
      </w:r>
      <w:r w:rsidRPr="002E47BA">
        <w:rPr>
          <w:rFonts w:ascii="Arial" w:hAnsi="Arial" w:cs="Arial"/>
          <w:sz w:val="24"/>
          <w:szCs w:val="24"/>
          <w:lang w:val="en-US"/>
        </w:rPr>
        <w:t>Joint</w:t>
      </w:r>
      <w:r w:rsidRPr="00AB326F">
        <w:rPr>
          <w:rFonts w:ascii="Arial" w:hAnsi="Arial" w:cs="Arial"/>
          <w:sz w:val="24"/>
          <w:szCs w:val="24"/>
        </w:rPr>
        <w:t xml:space="preserve"> </w:t>
      </w:r>
      <w:r w:rsidRPr="002E47BA">
        <w:rPr>
          <w:rFonts w:ascii="Arial" w:hAnsi="Arial" w:cs="Arial"/>
          <w:sz w:val="24"/>
          <w:szCs w:val="24"/>
          <w:lang w:val="en-US"/>
        </w:rPr>
        <w:t>Commitee</w:t>
      </w:r>
      <w:r w:rsidRPr="00AB326F">
        <w:rPr>
          <w:rFonts w:ascii="Arial" w:hAnsi="Arial" w:cs="Arial"/>
          <w:sz w:val="24"/>
          <w:szCs w:val="24"/>
        </w:rPr>
        <w:t xml:space="preserve"> </w:t>
      </w:r>
      <w:r w:rsidRPr="002E47BA">
        <w:rPr>
          <w:rFonts w:ascii="Arial" w:hAnsi="Arial" w:cs="Arial"/>
          <w:sz w:val="24"/>
          <w:szCs w:val="24"/>
          <w:lang w:val="en-US"/>
        </w:rPr>
        <w:t>on</w:t>
      </w:r>
      <w:r w:rsidRPr="00AB326F">
        <w:rPr>
          <w:rFonts w:ascii="Arial" w:hAnsi="Arial" w:cs="Arial"/>
          <w:sz w:val="24"/>
          <w:szCs w:val="24"/>
        </w:rPr>
        <w:t xml:space="preserve"> </w:t>
      </w:r>
      <w:r w:rsidRPr="002E47BA">
        <w:rPr>
          <w:rFonts w:ascii="Arial" w:hAnsi="Arial" w:cs="Arial"/>
          <w:sz w:val="24"/>
          <w:szCs w:val="24"/>
          <w:lang w:val="en-US"/>
        </w:rPr>
        <w:t>Cancer</w:t>
      </w:r>
      <w:r w:rsidRPr="00AB326F">
        <w:rPr>
          <w:rFonts w:ascii="Arial" w:hAnsi="Arial" w:cs="Arial"/>
          <w:sz w:val="24"/>
          <w:szCs w:val="24"/>
        </w:rPr>
        <w:t>.</w:t>
      </w:r>
    </w:p>
    <w:p w:rsidR="002E47BA" w:rsidRDefault="002E47BA" w:rsidP="002E47BA">
      <w:pPr>
        <w:spacing w:line="240" w:lineRule="auto"/>
        <w:ind w:firstLine="720"/>
        <w:jc w:val="both"/>
        <w:rPr>
          <w:rFonts w:ascii="Arial" w:hAnsi="Arial" w:cs="Arial"/>
          <w:sz w:val="24"/>
          <w:szCs w:val="24"/>
        </w:rPr>
      </w:pPr>
      <w:r>
        <w:rPr>
          <w:rFonts w:ascii="Arial" w:hAnsi="Arial" w:cs="Arial"/>
          <w:sz w:val="24"/>
          <w:szCs w:val="24"/>
        </w:rPr>
        <w:t>Πρωτοπαθής όγκος (Τ)</w:t>
      </w:r>
    </w:p>
    <w:p w:rsidR="002E47BA" w:rsidRDefault="002E47BA" w:rsidP="003E071D">
      <w:pPr>
        <w:pStyle w:val="ListParagraph"/>
        <w:numPr>
          <w:ilvl w:val="0"/>
          <w:numId w:val="3"/>
        </w:numPr>
        <w:spacing w:line="240" w:lineRule="auto"/>
        <w:jc w:val="both"/>
        <w:rPr>
          <w:rFonts w:ascii="Arial" w:hAnsi="Arial" w:cs="Arial"/>
          <w:sz w:val="20"/>
          <w:szCs w:val="20"/>
        </w:rPr>
      </w:pPr>
      <w:r>
        <w:rPr>
          <w:rFonts w:ascii="Arial" w:hAnsi="Arial" w:cs="Arial"/>
          <w:sz w:val="20"/>
          <w:szCs w:val="20"/>
        </w:rPr>
        <w:t>Τ0: Δεν διαπιστώνεται η παρουσία του πρωτοπαθούς όγκου</w:t>
      </w:r>
    </w:p>
    <w:p w:rsidR="002E47BA" w:rsidRDefault="002E47BA" w:rsidP="003E071D">
      <w:pPr>
        <w:pStyle w:val="ListParagraph"/>
        <w:numPr>
          <w:ilvl w:val="0"/>
          <w:numId w:val="3"/>
        </w:numPr>
        <w:spacing w:line="240" w:lineRule="auto"/>
        <w:jc w:val="both"/>
        <w:rPr>
          <w:rFonts w:ascii="Arial" w:hAnsi="Arial" w:cs="Arial"/>
          <w:sz w:val="20"/>
          <w:szCs w:val="20"/>
        </w:rPr>
      </w:pPr>
      <w:r>
        <w:rPr>
          <w:rFonts w:ascii="Arial" w:hAnsi="Arial" w:cs="Arial"/>
          <w:sz w:val="20"/>
          <w:szCs w:val="20"/>
          <w:lang w:val="en-US"/>
        </w:rPr>
        <w:t>Tis: Παρουσ</w:t>
      </w:r>
      <w:r>
        <w:rPr>
          <w:rFonts w:ascii="Arial" w:hAnsi="Arial" w:cs="Arial"/>
          <w:sz w:val="20"/>
          <w:szCs w:val="20"/>
        </w:rPr>
        <w:t>ία καρκινώματος in situ</w:t>
      </w:r>
    </w:p>
    <w:p w:rsidR="002E47BA" w:rsidRDefault="002E47BA" w:rsidP="003E071D">
      <w:pPr>
        <w:pStyle w:val="ListParagraph"/>
        <w:numPr>
          <w:ilvl w:val="0"/>
          <w:numId w:val="3"/>
        </w:numPr>
        <w:spacing w:line="240" w:lineRule="auto"/>
        <w:jc w:val="both"/>
        <w:rPr>
          <w:rFonts w:ascii="Arial" w:hAnsi="Arial" w:cs="Arial"/>
          <w:sz w:val="20"/>
          <w:szCs w:val="20"/>
        </w:rPr>
      </w:pPr>
      <w:r>
        <w:rPr>
          <w:rFonts w:ascii="Arial" w:hAnsi="Arial" w:cs="Arial"/>
          <w:sz w:val="20"/>
          <w:szCs w:val="20"/>
        </w:rPr>
        <w:t>Τ1: Ο όγκος διηθεί μέχρι τον υποβλεννογόνιο</w:t>
      </w:r>
    </w:p>
    <w:p w:rsidR="002E47BA" w:rsidRDefault="002E47BA" w:rsidP="003E071D">
      <w:pPr>
        <w:pStyle w:val="ListParagraph"/>
        <w:numPr>
          <w:ilvl w:val="0"/>
          <w:numId w:val="3"/>
        </w:numPr>
        <w:spacing w:line="240" w:lineRule="auto"/>
        <w:jc w:val="both"/>
        <w:rPr>
          <w:rFonts w:ascii="Arial" w:hAnsi="Arial" w:cs="Arial"/>
          <w:sz w:val="20"/>
          <w:szCs w:val="20"/>
        </w:rPr>
      </w:pPr>
      <w:r>
        <w:rPr>
          <w:rFonts w:ascii="Arial" w:hAnsi="Arial" w:cs="Arial"/>
          <w:sz w:val="20"/>
          <w:szCs w:val="20"/>
        </w:rPr>
        <w:t>Τ2: Ο όγκος διηθεί το μυϊκό χιτώνα</w:t>
      </w:r>
    </w:p>
    <w:p w:rsidR="000544F9" w:rsidRDefault="002E47BA" w:rsidP="003E071D">
      <w:pPr>
        <w:pStyle w:val="ListParagraph"/>
        <w:numPr>
          <w:ilvl w:val="0"/>
          <w:numId w:val="3"/>
        </w:numPr>
        <w:spacing w:line="240" w:lineRule="auto"/>
        <w:jc w:val="both"/>
        <w:rPr>
          <w:rFonts w:ascii="Arial" w:hAnsi="Arial" w:cs="Arial"/>
          <w:sz w:val="20"/>
          <w:szCs w:val="20"/>
        </w:rPr>
      </w:pPr>
      <w:r>
        <w:rPr>
          <w:rFonts w:ascii="Arial" w:hAnsi="Arial" w:cs="Arial"/>
          <w:sz w:val="20"/>
          <w:szCs w:val="20"/>
        </w:rPr>
        <w:t xml:space="preserve">Τ3: </w:t>
      </w:r>
      <w:r w:rsidR="000544F9">
        <w:rPr>
          <w:rFonts w:ascii="Arial" w:hAnsi="Arial" w:cs="Arial"/>
          <w:sz w:val="20"/>
          <w:szCs w:val="20"/>
        </w:rPr>
        <w:t xml:space="preserve">Ο όγκος διηθεί τον ορογόνο ή/και εισέρχεται στο μεσεντέριο σε βάθος </w:t>
      </w:r>
    </w:p>
    <w:p w:rsidR="002E47BA" w:rsidRDefault="000544F9" w:rsidP="000544F9">
      <w:pPr>
        <w:pStyle w:val="ListParagraph"/>
        <w:spacing w:line="240" w:lineRule="auto"/>
        <w:ind w:left="1448"/>
        <w:jc w:val="both"/>
        <w:rPr>
          <w:rFonts w:ascii="Arial" w:hAnsi="Arial" w:cs="Arial"/>
          <w:sz w:val="20"/>
          <w:szCs w:val="20"/>
        </w:rPr>
      </w:pPr>
      <w:r>
        <w:rPr>
          <w:rFonts w:ascii="Arial" w:hAnsi="Arial" w:cs="Arial"/>
          <w:sz w:val="20"/>
          <w:szCs w:val="20"/>
        </w:rPr>
        <w:t xml:space="preserve">      &lt; 2εκ.</w:t>
      </w:r>
    </w:p>
    <w:p w:rsidR="000544F9" w:rsidRPr="000544F9" w:rsidRDefault="000544F9" w:rsidP="003E071D">
      <w:pPr>
        <w:pStyle w:val="ListParagraph"/>
        <w:numPr>
          <w:ilvl w:val="0"/>
          <w:numId w:val="4"/>
        </w:numPr>
        <w:spacing w:line="240" w:lineRule="auto"/>
        <w:jc w:val="both"/>
        <w:rPr>
          <w:rFonts w:ascii="Arial" w:hAnsi="Arial" w:cs="Arial"/>
          <w:sz w:val="20"/>
          <w:szCs w:val="20"/>
        </w:rPr>
      </w:pPr>
      <w:r>
        <w:rPr>
          <w:rFonts w:ascii="Arial" w:hAnsi="Arial" w:cs="Arial"/>
          <w:sz w:val="20"/>
          <w:szCs w:val="20"/>
        </w:rPr>
        <w:t>Τ4: Ο όγκος διατιτραίνει τον ορογόνο ή διηθεί άλλα όργανα και στοιχεία.</w:t>
      </w:r>
    </w:p>
    <w:p w:rsidR="002E47BA" w:rsidRDefault="002E47BA" w:rsidP="00881086">
      <w:pPr>
        <w:spacing w:line="240" w:lineRule="auto"/>
        <w:ind w:firstLine="720"/>
        <w:jc w:val="both"/>
        <w:rPr>
          <w:rFonts w:ascii="Arial" w:hAnsi="Arial" w:cs="Arial"/>
          <w:sz w:val="24"/>
          <w:szCs w:val="24"/>
        </w:rPr>
      </w:pPr>
      <w:r>
        <w:rPr>
          <w:rFonts w:ascii="Arial" w:hAnsi="Arial" w:cs="Arial"/>
          <w:sz w:val="24"/>
          <w:szCs w:val="24"/>
        </w:rPr>
        <w:t>Επιχώριοι λεμφαδένες (Ν)</w:t>
      </w:r>
    </w:p>
    <w:p w:rsidR="00BF6C52" w:rsidRDefault="00BF6C52" w:rsidP="003E071D">
      <w:pPr>
        <w:pStyle w:val="ListParagraph"/>
        <w:numPr>
          <w:ilvl w:val="0"/>
          <w:numId w:val="4"/>
        </w:numPr>
        <w:spacing w:line="240" w:lineRule="auto"/>
        <w:jc w:val="both"/>
        <w:rPr>
          <w:rFonts w:ascii="Arial" w:hAnsi="Arial" w:cs="Arial"/>
          <w:sz w:val="20"/>
          <w:szCs w:val="20"/>
        </w:rPr>
      </w:pPr>
      <w:r>
        <w:rPr>
          <w:rFonts w:ascii="Arial" w:hAnsi="Arial" w:cs="Arial"/>
          <w:sz w:val="20"/>
          <w:szCs w:val="20"/>
        </w:rPr>
        <w:t>ΝΧ: Οι επιχώριοι λεμφαδένες δεν μπορούν να αξιολογηθούν</w:t>
      </w:r>
    </w:p>
    <w:p w:rsidR="00BF6C52" w:rsidRDefault="00BF6C52" w:rsidP="003E071D">
      <w:pPr>
        <w:pStyle w:val="ListParagraph"/>
        <w:numPr>
          <w:ilvl w:val="0"/>
          <w:numId w:val="4"/>
        </w:numPr>
        <w:spacing w:line="240" w:lineRule="auto"/>
        <w:jc w:val="both"/>
        <w:rPr>
          <w:rFonts w:ascii="Arial" w:hAnsi="Arial" w:cs="Arial"/>
          <w:sz w:val="20"/>
          <w:szCs w:val="20"/>
        </w:rPr>
      </w:pPr>
      <w:r>
        <w:rPr>
          <w:rFonts w:ascii="Arial" w:hAnsi="Arial" w:cs="Arial"/>
          <w:sz w:val="20"/>
          <w:szCs w:val="20"/>
        </w:rPr>
        <w:t>Ν0: Λεμφαδένες χωρίς μεταστατική διήθηση</w:t>
      </w:r>
    </w:p>
    <w:p w:rsidR="00BF6C52" w:rsidRPr="00BF6C52" w:rsidRDefault="00BF6C52" w:rsidP="003E071D">
      <w:pPr>
        <w:pStyle w:val="ListParagraph"/>
        <w:numPr>
          <w:ilvl w:val="0"/>
          <w:numId w:val="4"/>
        </w:numPr>
        <w:spacing w:line="240" w:lineRule="auto"/>
        <w:jc w:val="both"/>
        <w:rPr>
          <w:rFonts w:ascii="Arial" w:hAnsi="Arial" w:cs="Arial"/>
          <w:sz w:val="20"/>
          <w:szCs w:val="20"/>
        </w:rPr>
      </w:pPr>
      <w:r>
        <w:rPr>
          <w:rFonts w:ascii="Arial" w:hAnsi="Arial" w:cs="Arial"/>
          <w:sz w:val="20"/>
          <w:szCs w:val="20"/>
        </w:rPr>
        <w:t>Ν1: Επιχώριοι λεμφαδένες με μεταστατική διήθηση</w:t>
      </w:r>
    </w:p>
    <w:p w:rsidR="002E47BA" w:rsidRDefault="002E47BA" w:rsidP="00881086">
      <w:pPr>
        <w:spacing w:line="240" w:lineRule="auto"/>
        <w:ind w:firstLine="720"/>
        <w:jc w:val="both"/>
        <w:rPr>
          <w:rFonts w:ascii="Arial" w:hAnsi="Arial" w:cs="Arial"/>
          <w:sz w:val="24"/>
          <w:szCs w:val="24"/>
        </w:rPr>
      </w:pPr>
      <w:r>
        <w:rPr>
          <w:rFonts w:ascii="Arial" w:hAnsi="Arial" w:cs="Arial"/>
          <w:sz w:val="24"/>
          <w:szCs w:val="24"/>
        </w:rPr>
        <w:t>Μεταστάσεις (Μ)</w:t>
      </w:r>
    </w:p>
    <w:p w:rsidR="00085C52" w:rsidRDefault="00085C52" w:rsidP="003E071D">
      <w:pPr>
        <w:pStyle w:val="ListParagraph"/>
        <w:numPr>
          <w:ilvl w:val="0"/>
          <w:numId w:val="5"/>
        </w:numPr>
        <w:spacing w:line="240" w:lineRule="auto"/>
        <w:jc w:val="both"/>
        <w:rPr>
          <w:rFonts w:ascii="Arial" w:hAnsi="Arial" w:cs="Arial"/>
          <w:sz w:val="20"/>
          <w:szCs w:val="20"/>
        </w:rPr>
      </w:pPr>
      <w:r>
        <w:rPr>
          <w:rFonts w:ascii="Arial" w:hAnsi="Arial" w:cs="Arial"/>
          <w:sz w:val="20"/>
          <w:szCs w:val="20"/>
        </w:rPr>
        <w:t>ΜΧ: Η παρουσία απομακρυσμένων μεταστάσεων δεν αξιολογήθηκε</w:t>
      </w:r>
    </w:p>
    <w:p w:rsidR="00085C52" w:rsidRDefault="00085C52" w:rsidP="003E071D">
      <w:pPr>
        <w:pStyle w:val="ListParagraph"/>
        <w:numPr>
          <w:ilvl w:val="0"/>
          <w:numId w:val="5"/>
        </w:numPr>
        <w:spacing w:line="240" w:lineRule="auto"/>
        <w:jc w:val="both"/>
        <w:rPr>
          <w:rFonts w:ascii="Arial" w:hAnsi="Arial" w:cs="Arial"/>
          <w:sz w:val="20"/>
          <w:szCs w:val="20"/>
        </w:rPr>
      </w:pPr>
      <w:r>
        <w:rPr>
          <w:rFonts w:ascii="Arial" w:hAnsi="Arial" w:cs="Arial"/>
          <w:sz w:val="20"/>
          <w:szCs w:val="20"/>
        </w:rPr>
        <w:t>Μ0: Δεν βρέθηκαν απομακρυσμένες μεταστάσεις</w:t>
      </w:r>
    </w:p>
    <w:p w:rsidR="00085C52" w:rsidRPr="00085C52" w:rsidRDefault="00085C52" w:rsidP="003E071D">
      <w:pPr>
        <w:pStyle w:val="ListParagraph"/>
        <w:numPr>
          <w:ilvl w:val="0"/>
          <w:numId w:val="5"/>
        </w:numPr>
        <w:spacing w:line="240" w:lineRule="auto"/>
        <w:jc w:val="both"/>
        <w:rPr>
          <w:rFonts w:ascii="Arial" w:hAnsi="Arial" w:cs="Arial"/>
          <w:sz w:val="20"/>
          <w:szCs w:val="20"/>
        </w:rPr>
      </w:pPr>
      <w:r>
        <w:rPr>
          <w:rFonts w:ascii="Arial" w:hAnsi="Arial" w:cs="Arial"/>
          <w:sz w:val="20"/>
          <w:szCs w:val="20"/>
        </w:rPr>
        <w:t>Μ1: Παρουσία μεταστάσεων</w:t>
      </w:r>
    </w:p>
    <w:p w:rsidR="002E47BA" w:rsidRDefault="002E47BA" w:rsidP="00881086">
      <w:pPr>
        <w:spacing w:line="240" w:lineRule="auto"/>
        <w:ind w:firstLine="720"/>
        <w:jc w:val="both"/>
        <w:rPr>
          <w:rFonts w:ascii="Arial" w:hAnsi="Arial" w:cs="Arial"/>
          <w:sz w:val="24"/>
          <w:szCs w:val="24"/>
        </w:rPr>
      </w:pPr>
      <w:r>
        <w:rPr>
          <w:rFonts w:ascii="Arial" w:hAnsi="Arial" w:cs="Arial"/>
          <w:sz w:val="24"/>
          <w:szCs w:val="24"/>
        </w:rPr>
        <w:t>Στάδια</w:t>
      </w:r>
    </w:p>
    <w:p w:rsidR="003D3B55" w:rsidRDefault="003D3B55" w:rsidP="003E071D">
      <w:pPr>
        <w:pStyle w:val="ListParagraph"/>
        <w:numPr>
          <w:ilvl w:val="0"/>
          <w:numId w:val="6"/>
        </w:numPr>
        <w:spacing w:line="240" w:lineRule="auto"/>
        <w:jc w:val="both"/>
        <w:rPr>
          <w:rFonts w:ascii="Arial" w:hAnsi="Arial" w:cs="Arial"/>
          <w:sz w:val="20"/>
          <w:szCs w:val="20"/>
        </w:rPr>
      </w:pPr>
      <w:r>
        <w:rPr>
          <w:rFonts w:ascii="Arial" w:hAnsi="Arial" w:cs="Arial"/>
          <w:sz w:val="20"/>
          <w:szCs w:val="20"/>
        </w:rPr>
        <w:t>Στάδιο 0: Tis, N0, M0</w:t>
      </w:r>
    </w:p>
    <w:p w:rsidR="003D3B55" w:rsidRDefault="003D3B55" w:rsidP="003E071D">
      <w:pPr>
        <w:pStyle w:val="ListParagraph"/>
        <w:numPr>
          <w:ilvl w:val="0"/>
          <w:numId w:val="6"/>
        </w:numPr>
        <w:spacing w:line="240" w:lineRule="auto"/>
        <w:jc w:val="both"/>
        <w:rPr>
          <w:rFonts w:ascii="Arial" w:hAnsi="Arial" w:cs="Arial"/>
          <w:sz w:val="20"/>
          <w:szCs w:val="20"/>
        </w:rPr>
      </w:pPr>
      <w:r>
        <w:rPr>
          <w:rFonts w:ascii="Arial" w:hAnsi="Arial" w:cs="Arial"/>
          <w:sz w:val="20"/>
          <w:szCs w:val="20"/>
        </w:rPr>
        <w:t>Στάδιο Ι: Τ1-2, Ν0, Μ0</w:t>
      </w:r>
    </w:p>
    <w:p w:rsidR="003D3B55" w:rsidRDefault="003D3B55" w:rsidP="003E071D">
      <w:pPr>
        <w:pStyle w:val="ListParagraph"/>
        <w:numPr>
          <w:ilvl w:val="0"/>
          <w:numId w:val="6"/>
        </w:numPr>
        <w:spacing w:line="240" w:lineRule="auto"/>
        <w:jc w:val="both"/>
        <w:rPr>
          <w:rFonts w:ascii="Arial" w:hAnsi="Arial" w:cs="Arial"/>
          <w:sz w:val="20"/>
          <w:szCs w:val="20"/>
        </w:rPr>
      </w:pPr>
      <w:r>
        <w:rPr>
          <w:rFonts w:ascii="Arial" w:hAnsi="Arial" w:cs="Arial"/>
          <w:sz w:val="20"/>
          <w:szCs w:val="20"/>
        </w:rPr>
        <w:t>Στάδιο ΙΙ: Τ3-4, Ν0, Μ0</w:t>
      </w:r>
    </w:p>
    <w:p w:rsidR="003D3B55" w:rsidRDefault="003D3B55" w:rsidP="003E071D">
      <w:pPr>
        <w:pStyle w:val="ListParagraph"/>
        <w:numPr>
          <w:ilvl w:val="0"/>
          <w:numId w:val="6"/>
        </w:numPr>
        <w:spacing w:line="240" w:lineRule="auto"/>
        <w:jc w:val="both"/>
        <w:rPr>
          <w:rFonts w:ascii="Arial" w:hAnsi="Arial" w:cs="Arial"/>
          <w:sz w:val="20"/>
          <w:szCs w:val="20"/>
        </w:rPr>
      </w:pPr>
      <w:r>
        <w:rPr>
          <w:rFonts w:ascii="Arial" w:hAnsi="Arial" w:cs="Arial"/>
          <w:sz w:val="20"/>
          <w:szCs w:val="20"/>
        </w:rPr>
        <w:t>Στάδιο ΙΙΙ: Όποιο Τ, Ν1, Μ0</w:t>
      </w:r>
    </w:p>
    <w:p w:rsidR="003D3B55" w:rsidRPr="00AB326F" w:rsidRDefault="003D3B55" w:rsidP="003E071D">
      <w:pPr>
        <w:pStyle w:val="ListParagraph"/>
        <w:numPr>
          <w:ilvl w:val="0"/>
          <w:numId w:val="6"/>
        </w:numPr>
        <w:spacing w:line="240" w:lineRule="auto"/>
        <w:jc w:val="both"/>
        <w:rPr>
          <w:rFonts w:ascii="Arial" w:hAnsi="Arial" w:cs="Arial"/>
          <w:sz w:val="20"/>
          <w:szCs w:val="20"/>
        </w:rPr>
      </w:pPr>
      <w:r>
        <w:rPr>
          <w:rFonts w:ascii="Arial" w:hAnsi="Arial" w:cs="Arial"/>
          <w:sz w:val="20"/>
          <w:szCs w:val="20"/>
        </w:rPr>
        <w:t>Στάδιο IV: Όποιο Τ, όποιο Ν, Μ1</w:t>
      </w:r>
    </w:p>
    <w:p w:rsidR="00D000BC" w:rsidRDefault="00AB326F" w:rsidP="00D000BC">
      <w:pPr>
        <w:spacing w:line="240" w:lineRule="auto"/>
        <w:ind w:firstLine="720"/>
        <w:jc w:val="both"/>
        <w:rPr>
          <w:rFonts w:ascii="Arial" w:hAnsi="Arial" w:cs="Arial"/>
          <w:b/>
          <w:i/>
          <w:sz w:val="24"/>
          <w:szCs w:val="24"/>
        </w:rPr>
      </w:pPr>
      <w:r>
        <w:rPr>
          <w:rFonts w:ascii="Arial" w:hAnsi="Arial" w:cs="Arial"/>
          <w:b/>
          <w:i/>
          <w:sz w:val="24"/>
          <w:szCs w:val="24"/>
        </w:rPr>
        <w:t>Θεραπευτικοί χειρισμοί</w:t>
      </w:r>
    </w:p>
    <w:p w:rsidR="00D000BC" w:rsidRDefault="00AB326F" w:rsidP="00D000BC">
      <w:pPr>
        <w:spacing w:line="240" w:lineRule="auto"/>
        <w:ind w:firstLine="720"/>
        <w:jc w:val="both"/>
        <w:rPr>
          <w:rFonts w:ascii="Arial" w:hAnsi="Arial" w:cs="Arial"/>
          <w:b/>
          <w:i/>
          <w:sz w:val="24"/>
          <w:szCs w:val="24"/>
        </w:rPr>
      </w:pPr>
      <w:r>
        <w:rPr>
          <w:rFonts w:ascii="Arial" w:hAnsi="Arial" w:cs="Arial"/>
          <w:sz w:val="24"/>
          <w:szCs w:val="24"/>
        </w:rPr>
        <w:t>Η χειρουργική εκτομή του όγκου αποτελεί τη μοναδική απο</w:t>
      </w:r>
      <w:r w:rsidR="00710B24">
        <w:rPr>
          <w:rFonts w:ascii="Arial" w:hAnsi="Arial" w:cs="Arial"/>
          <w:sz w:val="24"/>
          <w:szCs w:val="24"/>
        </w:rPr>
        <w:t>τελεσματική</w:t>
      </w:r>
    </w:p>
    <w:p w:rsidR="00D000BC" w:rsidRDefault="00710B24" w:rsidP="00D000BC">
      <w:pPr>
        <w:spacing w:line="240" w:lineRule="auto"/>
        <w:jc w:val="both"/>
        <w:rPr>
          <w:rFonts w:ascii="Arial" w:hAnsi="Arial" w:cs="Arial"/>
          <w:sz w:val="24"/>
          <w:szCs w:val="24"/>
        </w:rPr>
      </w:pPr>
      <w:r>
        <w:rPr>
          <w:rFonts w:ascii="Arial" w:hAnsi="Arial" w:cs="Arial"/>
          <w:sz w:val="24"/>
          <w:szCs w:val="24"/>
        </w:rPr>
        <w:t>θ</w:t>
      </w:r>
      <w:r w:rsidR="00AB326F">
        <w:rPr>
          <w:rFonts w:ascii="Arial" w:hAnsi="Arial" w:cs="Arial"/>
          <w:sz w:val="24"/>
          <w:szCs w:val="24"/>
        </w:rPr>
        <w:t>ερα</w:t>
      </w:r>
      <w:r>
        <w:rPr>
          <w:rFonts w:ascii="Arial" w:hAnsi="Arial" w:cs="Arial"/>
          <w:sz w:val="24"/>
          <w:szCs w:val="24"/>
        </w:rPr>
        <w:t>πεία του αδενοκαρκινώματος του λεπτού εντέρου, η οποία είναι εφικτή στο σύνολο των ασθενών, ενώ η ριζική εκτομή του όγκου είναι δυνατή μόνο στο 50% των ασθενών.</w:t>
      </w:r>
      <w:r>
        <w:rPr>
          <w:rFonts w:ascii="Arial" w:hAnsi="Arial" w:cs="Arial"/>
          <w:sz w:val="24"/>
          <w:szCs w:val="24"/>
          <w:vertAlign w:val="superscript"/>
        </w:rPr>
        <w:t>17</w:t>
      </w:r>
      <w:r>
        <w:rPr>
          <w:rFonts w:ascii="Arial" w:hAnsi="Arial" w:cs="Arial"/>
          <w:sz w:val="24"/>
          <w:szCs w:val="24"/>
        </w:rPr>
        <w:t xml:space="preserve"> </w:t>
      </w:r>
      <w:r w:rsidR="00D000BC">
        <w:rPr>
          <w:rFonts w:ascii="Arial" w:hAnsi="Arial" w:cs="Arial"/>
          <w:sz w:val="24"/>
          <w:szCs w:val="24"/>
        </w:rPr>
        <w:t>Στους υπόλοιπους δεν είναι δυνατό να εφαρμοσθεί ριζική χειρουργική θεραπεία λόγω εκτεταμένης τοπικής νόσου και μεταστάσεων στους επιχώριους λεμφαδένες, στο ήπαρ ή το περιτόναιο.</w:t>
      </w:r>
    </w:p>
    <w:p w:rsidR="00B85284" w:rsidRDefault="00B85284" w:rsidP="00D000BC">
      <w:pPr>
        <w:spacing w:line="240" w:lineRule="auto"/>
        <w:jc w:val="both"/>
        <w:rPr>
          <w:rFonts w:ascii="Arial" w:hAnsi="Arial" w:cs="Arial"/>
          <w:sz w:val="24"/>
          <w:szCs w:val="24"/>
        </w:rPr>
      </w:pPr>
      <w:r>
        <w:rPr>
          <w:rFonts w:ascii="Arial" w:hAnsi="Arial" w:cs="Arial"/>
          <w:sz w:val="24"/>
          <w:szCs w:val="24"/>
        </w:rPr>
        <w:tab/>
        <w:t xml:space="preserve">Ο τύπος και η έκταση της χειρουργικής επέμβασης </w:t>
      </w:r>
      <w:r w:rsidR="004A7A9E">
        <w:rPr>
          <w:rFonts w:ascii="Arial" w:hAnsi="Arial" w:cs="Arial"/>
          <w:sz w:val="24"/>
          <w:szCs w:val="24"/>
        </w:rPr>
        <w:t>εξαρτάται από τη</w:t>
      </w:r>
      <w:r w:rsidR="00C40884">
        <w:rPr>
          <w:rFonts w:ascii="Arial" w:hAnsi="Arial" w:cs="Arial"/>
          <w:sz w:val="24"/>
          <w:szCs w:val="24"/>
        </w:rPr>
        <w:t>ν</w:t>
      </w:r>
      <w:r w:rsidR="004A7A9E">
        <w:rPr>
          <w:rFonts w:ascii="Arial" w:hAnsi="Arial" w:cs="Arial"/>
          <w:sz w:val="24"/>
          <w:szCs w:val="24"/>
        </w:rPr>
        <w:t xml:space="preserve"> εντόπιση του όγκου, το στάδιο της νόσου και τη γενική κατάσταση του ασθενούς.</w:t>
      </w:r>
    </w:p>
    <w:p w:rsidR="004A7A9E" w:rsidRDefault="00D000BC" w:rsidP="00D000BC">
      <w:pPr>
        <w:spacing w:line="240" w:lineRule="auto"/>
        <w:jc w:val="both"/>
        <w:rPr>
          <w:rFonts w:ascii="Arial" w:hAnsi="Arial" w:cs="Arial"/>
          <w:sz w:val="24"/>
          <w:szCs w:val="24"/>
        </w:rPr>
      </w:pPr>
      <w:r>
        <w:rPr>
          <w:rFonts w:ascii="Arial" w:hAnsi="Arial" w:cs="Arial"/>
          <w:sz w:val="24"/>
          <w:szCs w:val="24"/>
        </w:rPr>
        <w:tab/>
        <w:t xml:space="preserve">Αδενοκαρκινώματα που εντοπίζονται στις δύο πρώτες μοίρες του δωδεκαδακτύλου αντιμετωπίζονται με παγκρεατο-δωδεκαδακτυλεκτομή, ενώ οι όγκοι που εντοπίζονται </w:t>
      </w:r>
      <w:r w:rsidR="004924F8">
        <w:rPr>
          <w:rFonts w:ascii="Arial" w:hAnsi="Arial" w:cs="Arial"/>
          <w:sz w:val="24"/>
          <w:szCs w:val="24"/>
        </w:rPr>
        <w:t xml:space="preserve">στην τρίτη και τέταρτη μοίρα είναι δυνατό να αντιμετωπισθούν με τμηματική εκτομή του δωδεκαδακτύλου και διάσωση του παγκρέατος αρκεί να εξασφαλισούν μη διηθημένα χειρουργικά όρια. </w:t>
      </w:r>
      <w:r w:rsidR="00245F19">
        <w:rPr>
          <w:rFonts w:ascii="Arial" w:hAnsi="Arial" w:cs="Arial"/>
          <w:sz w:val="24"/>
          <w:szCs w:val="24"/>
        </w:rPr>
        <w:t xml:space="preserve">Στα υπόλοιπα τμήματα του λεπτού εντέρου εφαρμόζεται η ευρεία εκτομή του </w:t>
      </w:r>
      <w:r w:rsidR="00245F19">
        <w:rPr>
          <w:rFonts w:ascii="Arial" w:hAnsi="Arial" w:cs="Arial"/>
          <w:sz w:val="24"/>
          <w:szCs w:val="24"/>
        </w:rPr>
        <w:lastRenderedPageBreak/>
        <w:t>τμήματος του λεπτού εντέρου, που φιλοξενεί τον όγκο</w:t>
      </w:r>
      <w:r w:rsidR="004A7A9E">
        <w:rPr>
          <w:rFonts w:ascii="Arial" w:hAnsi="Arial" w:cs="Arial"/>
          <w:sz w:val="24"/>
          <w:szCs w:val="24"/>
        </w:rPr>
        <w:t>,</w:t>
      </w:r>
      <w:r w:rsidR="00245F19">
        <w:rPr>
          <w:rFonts w:ascii="Arial" w:hAnsi="Arial" w:cs="Arial"/>
          <w:sz w:val="24"/>
          <w:szCs w:val="24"/>
        </w:rPr>
        <w:t xml:space="preserve"> </w:t>
      </w:r>
      <w:r w:rsidR="00B85284">
        <w:rPr>
          <w:rFonts w:ascii="Arial" w:hAnsi="Arial" w:cs="Arial"/>
          <w:sz w:val="24"/>
          <w:szCs w:val="24"/>
        </w:rPr>
        <w:t>με</w:t>
      </w:r>
      <w:r w:rsidR="004A7A9E">
        <w:rPr>
          <w:rFonts w:ascii="Arial" w:hAnsi="Arial" w:cs="Arial"/>
          <w:sz w:val="24"/>
          <w:szCs w:val="24"/>
        </w:rPr>
        <w:t xml:space="preserve"> συνοδό εκτομή των επιχωρίων λεμφαδένων.</w:t>
      </w:r>
    </w:p>
    <w:p w:rsidR="0082550D" w:rsidRDefault="004A7A9E" w:rsidP="00D000BC">
      <w:pPr>
        <w:spacing w:line="240" w:lineRule="auto"/>
        <w:jc w:val="both"/>
        <w:rPr>
          <w:rFonts w:ascii="Arial" w:hAnsi="Arial" w:cs="Arial"/>
          <w:sz w:val="24"/>
          <w:szCs w:val="24"/>
        </w:rPr>
      </w:pPr>
      <w:r>
        <w:rPr>
          <w:rFonts w:ascii="Arial" w:hAnsi="Arial" w:cs="Arial"/>
          <w:sz w:val="24"/>
          <w:szCs w:val="24"/>
        </w:rPr>
        <w:tab/>
        <w:t>Η μέση επιβίωση και η πενταετής επιβίωση, μετά ριζική εκτομή του όγκου, είναι 182 μήνες και 81%</w:t>
      </w:r>
      <w:r w:rsidR="00E4012A">
        <w:rPr>
          <w:rFonts w:ascii="Arial" w:hAnsi="Arial" w:cs="Arial"/>
          <w:sz w:val="24"/>
          <w:szCs w:val="24"/>
        </w:rPr>
        <w:t xml:space="preserve"> αντίσ</w:t>
      </w:r>
      <w:r w:rsidR="004D4C03">
        <w:rPr>
          <w:rFonts w:ascii="Arial" w:hAnsi="Arial" w:cs="Arial"/>
          <w:sz w:val="24"/>
          <w:szCs w:val="24"/>
        </w:rPr>
        <w:t>τοιχα. Σ</w:t>
      </w:r>
      <w:r w:rsidR="00E4012A">
        <w:rPr>
          <w:rFonts w:ascii="Arial" w:hAnsi="Arial" w:cs="Arial"/>
          <w:sz w:val="24"/>
          <w:szCs w:val="24"/>
        </w:rPr>
        <w:t xml:space="preserve">ε περιπτώσεις ατελούς εκτομής, η μέση επιβίωση </w:t>
      </w:r>
      <w:r w:rsidR="00BF6FA3">
        <w:rPr>
          <w:rFonts w:ascii="Arial" w:hAnsi="Arial" w:cs="Arial"/>
          <w:sz w:val="24"/>
          <w:szCs w:val="24"/>
        </w:rPr>
        <w:t>περιορίζεται στους 33 μήνες και η πενταετής επιβίωση στο</w:t>
      </w:r>
      <w:r w:rsidR="00E4012A">
        <w:rPr>
          <w:rFonts w:ascii="Arial" w:hAnsi="Arial" w:cs="Arial"/>
          <w:sz w:val="24"/>
          <w:szCs w:val="24"/>
        </w:rPr>
        <w:t xml:space="preserve"> 42%, ενώ σε περιπτώσεις μη εξαιρέσιμων όγκων, οι</w:t>
      </w:r>
      <w:r w:rsidR="00BF6FA3">
        <w:rPr>
          <w:rFonts w:ascii="Arial" w:hAnsi="Arial" w:cs="Arial"/>
          <w:sz w:val="24"/>
          <w:szCs w:val="24"/>
        </w:rPr>
        <w:t xml:space="preserve"> αντίστοιχοι αριθμοί είναι 10 μήνες και 39%.</w:t>
      </w:r>
      <w:r w:rsidR="00BF6FA3">
        <w:rPr>
          <w:rFonts w:ascii="Arial" w:hAnsi="Arial" w:cs="Arial"/>
          <w:sz w:val="24"/>
          <w:szCs w:val="24"/>
          <w:vertAlign w:val="superscript"/>
        </w:rPr>
        <w:t>18</w:t>
      </w:r>
      <w:r w:rsidR="00BF6FA3">
        <w:rPr>
          <w:rFonts w:ascii="Arial" w:hAnsi="Arial" w:cs="Arial"/>
          <w:sz w:val="24"/>
          <w:szCs w:val="24"/>
        </w:rPr>
        <w:t xml:space="preserve"> </w:t>
      </w:r>
      <w:r w:rsidR="00E4012A">
        <w:rPr>
          <w:rFonts w:ascii="Arial" w:hAnsi="Arial" w:cs="Arial"/>
          <w:sz w:val="24"/>
          <w:szCs w:val="24"/>
        </w:rPr>
        <w:t xml:space="preserve">  </w:t>
      </w:r>
    </w:p>
    <w:p w:rsidR="00CE18E2" w:rsidRPr="00CE18E2" w:rsidRDefault="0082550D" w:rsidP="00D000BC">
      <w:pPr>
        <w:spacing w:line="240" w:lineRule="auto"/>
        <w:jc w:val="both"/>
        <w:rPr>
          <w:rFonts w:ascii="Arial" w:hAnsi="Arial" w:cs="Arial"/>
          <w:sz w:val="24"/>
          <w:szCs w:val="24"/>
        </w:rPr>
      </w:pPr>
      <w:r>
        <w:rPr>
          <w:rFonts w:ascii="Arial" w:hAnsi="Arial" w:cs="Arial"/>
          <w:sz w:val="24"/>
          <w:szCs w:val="24"/>
        </w:rPr>
        <w:tab/>
        <w:t>Τέλος, να σημειωθεί ότι επιθετική χειρουργική επέμβαση ενδείκνυται και σε περιπτώσεις μεγάλων όγκων με διήθηση των επιχωρίων λεμφαδένων</w:t>
      </w:r>
      <w:r w:rsidR="00667DF4">
        <w:rPr>
          <w:rFonts w:ascii="Arial" w:hAnsi="Arial" w:cs="Arial"/>
          <w:sz w:val="24"/>
          <w:szCs w:val="24"/>
        </w:rPr>
        <w:t>,</w:t>
      </w:r>
      <w:r>
        <w:rPr>
          <w:rFonts w:ascii="Arial" w:hAnsi="Arial" w:cs="Arial"/>
          <w:sz w:val="24"/>
          <w:szCs w:val="24"/>
        </w:rPr>
        <w:t xml:space="preserve"> αρκεί να εξασφαλισθούν αρνητικά χειρουργικά όρια εκτομής, ενώ η παρηγορική εκτομή εφαρμόζεται, πολλές φορές, για την ανακούφιση των συμπτωμάτων της απόφραξης και της αιμορραγίας</w:t>
      </w:r>
      <w:r w:rsidR="00C5639C">
        <w:rPr>
          <w:rFonts w:ascii="Arial" w:hAnsi="Arial" w:cs="Arial"/>
          <w:sz w:val="24"/>
          <w:szCs w:val="24"/>
        </w:rPr>
        <w:t>.</w:t>
      </w:r>
      <w:r w:rsidR="004A7A9E">
        <w:rPr>
          <w:rFonts w:ascii="Arial" w:hAnsi="Arial" w:cs="Arial"/>
          <w:sz w:val="24"/>
          <w:szCs w:val="24"/>
        </w:rPr>
        <w:t xml:space="preserve"> </w:t>
      </w:r>
    </w:p>
    <w:p w:rsidR="00623C72" w:rsidRDefault="00CE18E2" w:rsidP="00D000BC">
      <w:pPr>
        <w:spacing w:line="240" w:lineRule="auto"/>
        <w:jc w:val="both"/>
        <w:rPr>
          <w:rFonts w:ascii="Arial" w:hAnsi="Arial" w:cs="Arial"/>
          <w:sz w:val="24"/>
          <w:szCs w:val="24"/>
        </w:rPr>
      </w:pPr>
      <w:r w:rsidRPr="00865F62">
        <w:rPr>
          <w:rFonts w:ascii="Arial" w:hAnsi="Arial" w:cs="Arial"/>
          <w:sz w:val="24"/>
          <w:szCs w:val="24"/>
        </w:rPr>
        <w:tab/>
      </w:r>
      <w:r>
        <w:rPr>
          <w:rFonts w:ascii="Arial" w:hAnsi="Arial" w:cs="Arial"/>
          <w:sz w:val="24"/>
          <w:szCs w:val="24"/>
        </w:rPr>
        <w:t>Ο ρόλος της χημειοθεραπείας</w:t>
      </w:r>
      <w:r w:rsidR="00796504">
        <w:rPr>
          <w:rFonts w:ascii="Arial" w:hAnsi="Arial" w:cs="Arial"/>
          <w:sz w:val="24"/>
          <w:szCs w:val="24"/>
        </w:rPr>
        <w:t>,</w:t>
      </w:r>
      <w:r>
        <w:rPr>
          <w:rFonts w:ascii="Arial" w:hAnsi="Arial" w:cs="Arial"/>
          <w:sz w:val="24"/>
          <w:szCs w:val="24"/>
        </w:rPr>
        <w:t xml:space="preserve"> στην αντιμετώπιση των αδενοκαρκινωμάτων του λεπτού εντέρου</w:t>
      </w:r>
      <w:r w:rsidR="00796504">
        <w:rPr>
          <w:rFonts w:ascii="Arial" w:hAnsi="Arial" w:cs="Arial"/>
          <w:sz w:val="24"/>
          <w:szCs w:val="24"/>
        </w:rPr>
        <w:t>,</w:t>
      </w:r>
      <w:r>
        <w:rPr>
          <w:rFonts w:ascii="Arial" w:hAnsi="Arial" w:cs="Arial"/>
          <w:sz w:val="24"/>
          <w:szCs w:val="24"/>
        </w:rPr>
        <w:t xml:space="preserve"> είναι δύσκολο να εκτιμηθεί, λόγω της μικρής επίπτωσης της νόσου και της ανυπαρξίας μεγάλων προοπτικών σειρών.</w:t>
      </w:r>
      <w:r w:rsidR="00B85284">
        <w:rPr>
          <w:rFonts w:ascii="Arial" w:hAnsi="Arial" w:cs="Arial"/>
          <w:sz w:val="24"/>
          <w:szCs w:val="24"/>
        </w:rPr>
        <w:t xml:space="preserve"> </w:t>
      </w:r>
      <w:r>
        <w:rPr>
          <w:rFonts w:ascii="Arial" w:hAnsi="Arial" w:cs="Arial"/>
          <w:sz w:val="24"/>
          <w:szCs w:val="24"/>
        </w:rPr>
        <w:t>Στη μεγαλύτερη σειρά που δημοσιεύθηκε το 1984 χορηγήθηκε χημειοθεραπεία</w:t>
      </w:r>
      <w:r w:rsidR="00BB4D6D" w:rsidRPr="00BB4D6D">
        <w:rPr>
          <w:rFonts w:ascii="Arial" w:hAnsi="Arial" w:cs="Arial"/>
          <w:sz w:val="24"/>
          <w:szCs w:val="24"/>
        </w:rPr>
        <w:t>,</w:t>
      </w:r>
      <w:r>
        <w:rPr>
          <w:rFonts w:ascii="Arial" w:hAnsi="Arial" w:cs="Arial"/>
          <w:sz w:val="24"/>
          <w:szCs w:val="24"/>
        </w:rPr>
        <w:t xml:space="preserve"> με βάση την </w:t>
      </w:r>
      <w:r w:rsidR="00BB4D6D" w:rsidRPr="00BB4D6D">
        <w:rPr>
          <w:rFonts w:ascii="Arial" w:hAnsi="Arial" w:cs="Arial"/>
          <w:sz w:val="24"/>
          <w:szCs w:val="24"/>
        </w:rPr>
        <w:t>5-</w:t>
      </w:r>
      <w:r w:rsidR="00BB4D6D">
        <w:rPr>
          <w:rFonts w:ascii="Arial" w:hAnsi="Arial" w:cs="Arial"/>
          <w:sz w:val="24"/>
          <w:szCs w:val="24"/>
          <w:lang w:val="en-US"/>
        </w:rPr>
        <w:t>fluorouracil</w:t>
      </w:r>
      <w:r w:rsidR="00BB4D6D" w:rsidRPr="00BB4D6D">
        <w:rPr>
          <w:rFonts w:ascii="Arial" w:hAnsi="Arial" w:cs="Arial"/>
          <w:sz w:val="24"/>
          <w:szCs w:val="24"/>
        </w:rPr>
        <w:t xml:space="preserve"> (5-</w:t>
      </w:r>
      <w:r w:rsidR="00BB4D6D">
        <w:rPr>
          <w:rFonts w:ascii="Arial" w:hAnsi="Arial" w:cs="Arial"/>
          <w:sz w:val="24"/>
          <w:szCs w:val="24"/>
          <w:lang w:val="en-US"/>
        </w:rPr>
        <w:t>FU</w:t>
      </w:r>
      <w:r w:rsidR="00BB4D6D" w:rsidRPr="00BB4D6D">
        <w:rPr>
          <w:rFonts w:ascii="Arial" w:hAnsi="Arial" w:cs="Arial"/>
          <w:sz w:val="24"/>
          <w:szCs w:val="24"/>
        </w:rPr>
        <w:t>), σε 14 ασθενε</w:t>
      </w:r>
      <w:r w:rsidR="00BB4D6D">
        <w:rPr>
          <w:rFonts w:ascii="Arial" w:hAnsi="Arial" w:cs="Arial"/>
          <w:sz w:val="24"/>
          <w:szCs w:val="24"/>
        </w:rPr>
        <w:t>ίς με μεταστατικό αδενοκαρκίνωμα λεπτού εντέρου. Παρατηρήθηκε μικρή ανταπόκριση σε 2 ασθενείς και μερική ανταπόκριση σε 1 ασθενή</w:t>
      </w:r>
      <w:r w:rsidR="00796504">
        <w:rPr>
          <w:rFonts w:ascii="Arial" w:hAnsi="Arial" w:cs="Arial"/>
          <w:sz w:val="24"/>
          <w:szCs w:val="24"/>
        </w:rPr>
        <w:t>,</w:t>
      </w:r>
      <w:r w:rsidR="00BB4D6D">
        <w:rPr>
          <w:rFonts w:ascii="Arial" w:hAnsi="Arial" w:cs="Arial"/>
          <w:sz w:val="24"/>
          <w:szCs w:val="24"/>
        </w:rPr>
        <w:t xml:space="preserve"> με μέση επιβίωση 9 μηνών.</w:t>
      </w:r>
      <w:r w:rsidR="00607957">
        <w:rPr>
          <w:rFonts w:ascii="Arial" w:hAnsi="Arial" w:cs="Arial"/>
          <w:sz w:val="24"/>
          <w:szCs w:val="24"/>
          <w:vertAlign w:val="superscript"/>
        </w:rPr>
        <w:t>19</w:t>
      </w:r>
      <w:r w:rsidR="00430BA2">
        <w:rPr>
          <w:rFonts w:ascii="Arial" w:hAnsi="Arial" w:cs="Arial"/>
          <w:sz w:val="24"/>
          <w:szCs w:val="24"/>
        </w:rPr>
        <w:t xml:space="preserve"> Σε άλλη αναδρομική μελέτη 65 ασθενών</w:t>
      </w:r>
      <w:r w:rsidR="001452C9">
        <w:rPr>
          <w:rFonts w:ascii="Arial" w:hAnsi="Arial" w:cs="Arial"/>
          <w:sz w:val="24"/>
          <w:szCs w:val="24"/>
        </w:rPr>
        <w:t xml:space="preserve"> με αδενοκαρκίνωμα του λεπτού εντέρου, οι </w:t>
      </w:r>
      <w:r w:rsidR="001452C9">
        <w:rPr>
          <w:rFonts w:ascii="Arial" w:hAnsi="Arial" w:cs="Arial"/>
          <w:sz w:val="24"/>
          <w:szCs w:val="24"/>
          <w:lang w:val="en-US"/>
        </w:rPr>
        <w:t>Ouriel</w:t>
      </w:r>
      <w:r w:rsidR="001452C9">
        <w:rPr>
          <w:rFonts w:ascii="Arial" w:hAnsi="Arial" w:cs="Arial"/>
          <w:sz w:val="24"/>
          <w:szCs w:val="24"/>
        </w:rPr>
        <w:t xml:space="preserve"> και</w:t>
      </w:r>
      <w:r w:rsidR="001452C9" w:rsidRPr="001452C9">
        <w:rPr>
          <w:rFonts w:ascii="Arial" w:hAnsi="Arial" w:cs="Arial"/>
          <w:sz w:val="24"/>
          <w:szCs w:val="24"/>
        </w:rPr>
        <w:t xml:space="preserve"> </w:t>
      </w:r>
      <w:r w:rsidR="001452C9">
        <w:rPr>
          <w:rFonts w:ascii="Arial" w:hAnsi="Arial" w:cs="Arial"/>
          <w:sz w:val="24"/>
          <w:szCs w:val="24"/>
          <w:lang w:val="en-US"/>
        </w:rPr>
        <w:t>Adams</w:t>
      </w:r>
      <w:r w:rsidR="001452C9">
        <w:rPr>
          <w:rFonts w:ascii="Arial" w:hAnsi="Arial" w:cs="Arial"/>
          <w:sz w:val="24"/>
          <w:szCs w:val="24"/>
        </w:rPr>
        <w:t xml:space="preserve"> ανέφεραν μέση επιβίωση 10,7 μηνών σε 6 ασθενείς με μεταστατική νόσο, στους οποίους χορηγήθηκε χημειοθεραπεία με βάση την 5-FU. Αντίθετα, 6 ασθενείς με μεταστατική νόσο στους οποίους δεν χορηγήθηκε χημειοθεραπεία είχαν μέση επιβίωση 4 μηνών. Επιπλέον, 6 ασθενείς με υποτροπή της νόσου είχαν μέση επιβίωση 11,5 μηνών μετά χορήγηση της χημειοθεραπείας, ενώ 21 ασθενείς με υποτροπή, χωρίς τη χορήγ</w:t>
      </w:r>
      <w:r w:rsidR="00D92532">
        <w:rPr>
          <w:rFonts w:ascii="Arial" w:hAnsi="Arial" w:cs="Arial"/>
          <w:sz w:val="24"/>
          <w:szCs w:val="24"/>
        </w:rPr>
        <w:t>η</w:t>
      </w:r>
      <w:r w:rsidR="001452C9">
        <w:rPr>
          <w:rFonts w:ascii="Arial" w:hAnsi="Arial" w:cs="Arial"/>
          <w:sz w:val="24"/>
          <w:szCs w:val="24"/>
        </w:rPr>
        <w:t>ση χημειοθεραπείας είχαν μέση επιβίωση 7,9 μηνών.</w:t>
      </w:r>
      <w:r w:rsidR="00F4782B">
        <w:rPr>
          <w:rFonts w:ascii="Arial" w:hAnsi="Arial" w:cs="Arial"/>
          <w:sz w:val="24"/>
          <w:szCs w:val="24"/>
          <w:vertAlign w:val="superscript"/>
        </w:rPr>
        <w:t>20</w:t>
      </w:r>
      <w:r w:rsidR="00F4782B">
        <w:rPr>
          <w:rFonts w:ascii="Arial" w:hAnsi="Arial" w:cs="Arial"/>
          <w:sz w:val="24"/>
          <w:szCs w:val="24"/>
        </w:rPr>
        <w:t xml:space="preserve"> </w:t>
      </w:r>
      <w:r w:rsidR="00623C72">
        <w:rPr>
          <w:rFonts w:ascii="Arial" w:hAnsi="Arial" w:cs="Arial"/>
          <w:sz w:val="24"/>
          <w:szCs w:val="24"/>
        </w:rPr>
        <w:t xml:space="preserve">Το 1998 σε μια Βρετανική μελέτη ο Crawley και οι συνεργάτες του δημοσίευσαν 8 ασθενείς με τοπικά εκτεταμένη νόσο, στους οποίους χορηγήθηκε χημειοθεραπεία με βάση την 5-FU και διαπίστωσαν ανταπόκριση </w:t>
      </w:r>
      <w:r w:rsidR="003972D8">
        <w:rPr>
          <w:rFonts w:ascii="Arial" w:hAnsi="Arial" w:cs="Arial"/>
          <w:sz w:val="24"/>
          <w:szCs w:val="24"/>
        </w:rPr>
        <w:t>στο 37,5% των περιπτώσεων και μέση επιβίωση 13 μηνών.</w:t>
      </w:r>
      <w:r w:rsidR="003972D8">
        <w:rPr>
          <w:rFonts w:ascii="Arial" w:hAnsi="Arial" w:cs="Arial"/>
          <w:sz w:val="24"/>
          <w:szCs w:val="24"/>
          <w:vertAlign w:val="superscript"/>
        </w:rPr>
        <w:t>21</w:t>
      </w:r>
      <w:r w:rsidR="00295750">
        <w:rPr>
          <w:rFonts w:ascii="Arial" w:hAnsi="Arial" w:cs="Arial"/>
          <w:sz w:val="24"/>
          <w:szCs w:val="24"/>
        </w:rPr>
        <w:t xml:space="preserve"> </w:t>
      </w:r>
    </w:p>
    <w:p w:rsidR="00E56801" w:rsidRDefault="00E56801" w:rsidP="00D000BC">
      <w:pPr>
        <w:spacing w:line="240" w:lineRule="auto"/>
        <w:jc w:val="both"/>
        <w:rPr>
          <w:rFonts w:ascii="Arial" w:hAnsi="Arial" w:cs="Arial"/>
          <w:sz w:val="24"/>
          <w:szCs w:val="24"/>
        </w:rPr>
      </w:pPr>
      <w:r>
        <w:rPr>
          <w:rFonts w:ascii="Arial" w:hAnsi="Arial" w:cs="Arial"/>
          <w:sz w:val="24"/>
          <w:szCs w:val="24"/>
        </w:rPr>
        <w:tab/>
        <w:t>Νεώτερα χημειοθεραπευτικά φάρμακα, που έχουν αποδειχθεί αποτελεσματικά στη θεραπεία των καρκινωμάτων του παχέος εντέρου, μπορεί να είναι, επίσης, δραστικά στην αντιμετώπιση του αδενοκαρκινώματος του λεπτού εντέρου.</w:t>
      </w:r>
      <w:r w:rsidR="006B59E8">
        <w:rPr>
          <w:rFonts w:ascii="Arial" w:hAnsi="Arial" w:cs="Arial"/>
          <w:sz w:val="24"/>
          <w:szCs w:val="24"/>
        </w:rPr>
        <w:t xml:space="preserve"> Ο Bettini και οι συνεργάτες του αναφέρουν ασφαλή χορήγηση με ικανοποιητικά αποτελέσματα  του σχήματος FOLFOX 4 (5-FU, oxaliplatin και leucovorin) ως επικουρική θεραπεία σε ασθενείς με χειρουργηθέν αδενοκαρκίνωμα λεπτού εντέρου και περιτοναϊκές εμφυτεύσεις.</w:t>
      </w:r>
      <w:r w:rsidR="006B59E8">
        <w:rPr>
          <w:rFonts w:ascii="Arial" w:hAnsi="Arial" w:cs="Arial"/>
          <w:sz w:val="24"/>
          <w:szCs w:val="24"/>
          <w:vertAlign w:val="superscript"/>
        </w:rPr>
        <w:t>22</w:t>
      </w:r>
      <w:r w:rsidR="006B59E8">
        <w:rPr>
          <w:rFonts w:ascii="Arial" w:hAnsi="Arial" w:cs="Arial"/>
          <w:sz w:val="24"/>
          <w:szCs w:val="24"/>
        </w:rPr>
        <w:t xml:space="preserve"> </w:t>
      </w:r>
    </w:p>
    <w:p w:rsidR="0079413C" w:rsidRDefault="0079413C" w:rsidP="00D000BC">
      <w:pPr>
        <w:spacing w:line="240" w:lineRule="auto"/>
        <w:jc w:val="both"/>
        <w:rPr>
          <w:rFonts w:ascii="Arial" w:hAnsi="Arial" w:cs="Arial"/>
          <w:sz w:val="24"/>
          <w:szCs w:val="24"/>
        </w:rPr>
      </w:pPr>
      <w:r>
        <w:rPr>
          <w:rFonts w:ascii="Arial" w:hAnsi="Arial" w:cs="Arial"/>
          <w:sz w:val="24"/>
          <w:szCs w:val="24"/>
        </w:rPr>
        <w:tab/>
        <w:t>Συμπερασματικά, παρά την απουσία προοπτικών μεγάλων σειρών και τη δυσκολία, που αυτό συνεπάγεται, στην εξαγωγή ασφαλών συμπερασμάτων για την αποτελεσματικότητα της χημειοθεραπείας ως επικουρικής θεραπείας ή σε μεταστατική νόσο, σε ασθενείς με καλό βιολογικό υπόστρωμα η εφαρμογή της φαίνεται να είναι δικαιολογημένη.</w:t>
      </w:r>
    </w:p>
    <w:p w:rsidR="00364E53" w:rsidRPr="000A0DA0" w:rsidRDefault="00364E53" w:rsidP="00D000BC">
      <w:pPr>
        <w:spacing w:line="240" w:lineRule="auto"/>
        <w:jc w:val="both"/>
        <w:rPr>
          <w:rFonts w:ascii="Arial" w:hAnsi="Arial" w:cs="Arial"/>
          <w:sz w:val="24"/>
          <w:szCs w:val="24"/>
        </w:rPr>
      </w:pPr>
      <w:r>
        <w:rPr>
          <w:rFonts w:ascii="Arial" w:hAnsi="Arial" w:cs="Arial"/>
          <w:sz w:val="24"/>
          <w:szCs w:val="24"/>
        </w:rPr>
        <w:tab/>
        <w:t xml:space="preserve">Η ακτινοθεραπεία δεν φαίνεται να είναι αποτελεσματική στην αντιμετώπιση των αδενοκαρκινωμάτων του λεπτού εντέρου. Η μόνη αναφορά </w:t>
      </w:r>
      <w:r>
        <w:rPr>
          <w:rFonts w:ascii="Arial" w:hAnsi="Arial" w:cs="Arial"/>
          <w:sz w:val="24"/>
          <w:szCs w:val="24"/>
        </w:rPr>
        <w:lastRenderedPageBreak/>
        <w:t>με καλά αποτελέσματα έγινε από τον Coia και τους συνεργάτες του, οι οποίοι εφάρμοσαν την προεγχειρητική χημειοθεραπεία και ακτινοθεραπεία σε 4 περιπτώσεις εξαιρέσιμων καρκινωμάτων του δωδεκαδακτύλου. Μετά την επέμβαση διαπιστώθηκε πλήρης παθολογοανατομική υποστροφή της νόσου και σε παρακολούθηση 4,5 ετών όλοι οι ασθενείς ήταν υγιείς χωρ</w:t>
      </w:r>
      <w:r w:rsidR="00CE2661">
        <w:rPr>
          <w:rFonts w:ascii="Arial" w:hAnsi="Arial" w:cs="Arial"/>
          <w:sz w:val="24"/>
          <w:szCs w:val="24"/>
        </w:rPr>
        <w:t>ίς ενδείξεις υποτροπής</w:t>
      </w:r>
      <w:r>
        <w:rPr>
          <w:rFonts w:ascii="Arial" w:hAnsi="Arial" w:cs="Arial"/>
          <w:sz w:val="24"/>
          <w:szCs w:val="24"/>
        </w:rPr>
        <w:t>.</w:t>
      </w:r>
      <w:r>
        <w:rPr>
          <w:rFonts w:ascii="Arial" w:hAnsi="Arial" w:cs="Arial"/>
          <w:sz w:val="24"/>
          <w:szCs w:val="24"/>
          <w:vertAlign w:val="superscript"/>
        </w:rPr>
        <w:t>23</w:t>
      </w:r>
      <w:r>
        <w:rPr>
          <w:rFonts w:ascii="Arial" w:hAnsi="Arial" w:cs="Arial"/>
          <w:sz w:val="24"/>
          <w:szCs w:val="24"/>
        </w:rPr>
        <w:t xml:space="preserve"> </w:t>
      </w:r>
      <w:r w:rsidR="005D0143">
        <w:rPr>
          <w:rFonts w:ascii="Arial" w:hAnsi="Arial" w:cs="Arial"/>
          <w:sz w:val="24"/>
          <w:szCs w:val="24"/>
        </w:rPr>
        <w:t>Παρά το γεγονός ότι η  επικουρική ακτινοθεραπεία δεν προσφέρει στην επιβίωση των ασθενών,</w:t>
      </w:r>
      <w:r w:rsidR="00CE2661">
        <w:rPr>
          <w:rFonts w:ascii="Arial" w:hAnsi="Arial" w:cs="Arial"/>
          <w:sz w:val="24"/>
          <w:szCs w:val="24"/>
        </w:rPr>
        <w:t xml:space="preserve"> η εφαρμογή της μπορεί να αποδειχθεί χρήσιμη στην ανακούφιση του πόνου, σε περιπτώσεις εκτεταμένης νόσου και στον περιορισμό της χρόνιας απώλειας αίματος</w:t>
      </w:r>
      <w:r w:rsidR="00582C72">
        <w:rPr>
          <w:rFonts w:ascii="Arial" w:hAnsi="Arial" w:cs="Arial"/>
          <w:sz w:val="24"/>
          <w:szCs w:val="24"/>
        </w:rPr>
        <w:t>.</w:t>
      </w:r>
      <w:r w:rsidR="005D0143">
        <w:rPr>
          <w:rFonts w:ascii="Arial" w:hAnsi="Arial" w:cs="Arial"/>
          <w:sz w:val="24"/>
          <w:szCs w:val="24"/>
        </w:rPr>
        <w:t xml:space="preserve"> </w:t>
      </w:r>
      <w:r>
        <w:rPr>
          <w:rFonts w:ascii="Arial" w:hAnsi="Arial" w:cs="Arial"/>
          <w:sz w:val="24"/>
          <w:szCs w:val="24"/>
        </w:rPr>
        <w:t xml:space="preserve"> </w:t>
      </w:r>
    </w:p>
    <w:p w:rsidR="00865F62" w:rsidRDefault="00865F62" w:rsidP="00D000BC">
      <w:pPr>
        <w:spacing w:line="240" w:lineRule="auto"/>
        <w:jc w:val="both"/>
        <w:rPr>
          <w:rFonts w:ascii="Arial" w:hAnsi="Arial" w:cs="Arial"/>
          <w:sz w:val="24"/>
          <w:szCs w:val="24"/>
        </w:rPr>
      </w:pPr>
      <w:r w:rsidRPr="000A0DA0">
        <w:rPr>
          <w:rFonts w:ascii="Arial" w:hAnsi="Arial" w:cs="Arial"/>
          <w:sz w:val="24"/>
          <w:szCs w:val="24"/>
        </w:rPr>
        <w:tab/>
      </w:r>
      <w:r>
        <w:rPr>
          <w:rFonts w:ascii="Arial" w:hAnsi="Arial" w:cs="Arial"/>
          <w:b/>
          <w:i/>
          <w:sz w:val="24"/>
          <w:szCs w:val="24"/>
        </w:rPr>
        <w:t>Παρακολούθηση</w:t>
      </w:r>
    </w:p>
    <w:p w:rsidR="00865F62" w:rsidRDefault="00865F62" w:rsidP="003E071D">
      <w:pPr>
        <w:pStyle w:val="ListParagraph"/>
        <w:numPr>
          <w:ilvl w:val="0"/>
          <w:numId w:val="7"/>
        </w:numPr>
        <w:spacing w:line="240" w:lineRule="auto"/>
        <w:jc w:val="both"/>
        <w:rPr>
          <w:rFonts w:ascii="Arial" w:hAnsi="Arial" w:cs="Arial"/>
          <w:sz w:val="24"/>
          <w:szCs w:val="24"/>
        </w:rPr>
      </w:pPr>
      <w:r>
        <w:rPr>
          <w:rFonts w:ascii="Arial" w:hAnsi="Arial" w:cs="Arial"/>
          <w:sz w:val="24"/>
          <w:szCs w:val="24"/>
        </w:rPr>
        <w:t>Οι ασθενείς που έχουν υποβληθεί σε χειρουργική εκτομή εντοπισμένου αδενοκαρκινώματος λεπτού εντέρου πρέπει να επισκέπτονται τα εξωτερικά ιατρεία κάθε 3 μήνες για αξιολόγηση των συμπτωμάτων και σημείων ενδεικτικών υποτροπής της νόσου</w:t>
      </w:r>
      <w:r w:rsidR="00D057C5">
        <w:rPr>
          <w:rFonts w:ascii="Arial" w:hAnsi="Arial" w:cs="Arial"/>
          <w:sz w:val="24"/>
          <w:szCs w:val="24"/>
        </w:rPr>
        <w:t>.</w:t>
      </w:r>
    </w:p>
    <w:p w:rsidR="00865F62" w:rsidRDefault="00865F62" w:rsidP="003E071D">
      <w:pPr>
        <w:pStyle w:val="ListParagraph"/>
        <w:numPr>
          <w:ilvl w:val="0"/>
          <w:numId w:val="7"/>
        </w:numPr>
        <w:spacing w:line="240" w:lineRule="auto"/>
        <w:jc w:val="both"/>
        <w:rPr>
          <w:rFonts w:ascii="Arial" w:hAnsi="Arial" w:cs="Arial"/>
          <w:sz w:val="24"/>
          <w:szCs w:val="24"/>
        </w:rPr>
      </w:pPr>
      <w:r>
        <w:rPr>
          <w:rFonts w:ascii="Arial" w:hAnsi="Arial" w:cs="Arial"/>
          <w:sz w:val="24"/>
          <w:szCs w:val="24"/>
        </w:rPr>
        <w:t>Στις επισκέψεις αυτές πρέπει να εκτελείται αιματολογικός και εργαστηριακός έλεγχος της ηπατικής λειτουργίας προκειμένου να διαπιστωθεί αναιμία, αποτέλεσμα απώλειας αίματος και διαταραχή των ηπατικών ενζύμων, αποτέλεσμα ηπατικών μεταστάσεων ή απόφραξης των εξωηπατικών χοληφόρων.</w:t>
      </w:r>
    </w:p>
    <w:p w:rsidR="00D057C5" w:rsidRDefault="00D057C5" w:rsidP="003E071D">
      <w:pPr>
        <w:pStyle w:val="ListParagraph"/>
        <w:numPr>
          <w:ilvl w:val="0"/>
          <w:numId w:val="7"/>
        </w:numPr>
        <w:spacing w:line="240" w:lineRule="auto"/>
        <w:jc w:val="both"/>
        <w:rPr>
          <w:rFonts w:ascii="Arial" w:hAnsi="Arial" w:cs="Arial"/>
          <w:sz w:val="24"/>
          <w:szCs w:val="24"/>
        </w:rPr>
      </w:pPr>
      <w:r>
        <w:rPr>
          <w:rFonts w:ascii="Arial" w:hAnsi="Arial" w:cs="Arial"/>
          <w:sz w:val="24"/>
          <w:szCs w:val="24"/>
        </w:rPr>
        <w:t>Αξονική τομογραφία κοιλίας πρέπει να γίνεται κάθε 6 μήνες προκειμένου να διαπιστωθεί έγκαιρα υποκλινική υποτροπή της νόσου, η οποία απαιτεί επανεγχείρηση.</w:t>
      </w:r>
    </w:p>
    <w:p w:rsidR="00D057C5" w:rsidRDefault="00D057C5" w:rsidP="003E071D">
      <w:pPr>
        <w:pStyle w:val="ListParagraph"/>
        <w:numPr>
          <w:ilvl w:val="0"/>
          <w:numId w:val="7"/>
        </w:numPr>
        <w:spacing w:line="240" w:lineRule="auto"/>
        <w:jc w:val="both"/>
        <w:rPr>
          <w:rFonts w:ascii="Arial" w:hAnsi="Arial" w:cs="Arial"/>
          <w:sz w:val="24"/>
          <w:szCs w:val="24"/>
        </w:rPr>
      </w:pPr>
      <w:r>
        <w:rPr>
          <w:rFonts w:ascii="Arial" w:hAnsi="Arial" w:cs="Arial"/>
          <w:sz w:val="24"/>
          <w:szCs w:val="24"/>
        </w:rPr>
        <w:t>Η κολοσκόπηση θεωρείται απαραίτητη, καθώς οι ασθενείς με αδενοκαρκίνωμα του λεπτού εντέρου εμφανίζουν αυξημένο κίνδυνο ανάπτυξης καρκίνου του παχέος εντέρου.</w:t>
      </w:r>
    </w:p>
    <w:p w:rsidR="00D057C5" w:rsidRDefault="00D057C5" w:rsidP="003E071D">
      <w:pPr>
        <w:pStyle w:val="ListParagraph"/>
        <w:numPr>
          <w:ilvl w:val="0"/>
          <w:numId w:val="7"/>
        </w:numPr>
        <w:spacing w:line="240" w:lineRule="auto"/>
        <w:jc w:val="both"/>
        <w:rPr>
          <w:rFonts w:ascii="Arial" w:hAnsi="Arial" w:cs="Arial"/>
          <w:sz w:val="24"/>
          <w:szCs w:val="24"/>
        </w:rPr>
      </w:pPr>
      <w:r w:rsidRPr="00A437F8">
        <w:rPr>
          <w:rFonts w:ascii="Arial" w:hAnsi="Arial" w:cs="Arial"/>
          <w:sz w:val="24"/>
          <w:szCs w:val="24"/>
        </w:rPr>
        <w:t>Ασθενείς με μεταστατική νόσο, οι οποίοι υποβάλλονται σε χημειοθεραπεία, πρέπει να εξετάζονται συχνά λόγω του κινδύνου αιματολογικών και άλλων τοξικών δράσεων της χημειοθεραπείας.</w:t>
      </w:r>
    </w:p>
    <w:p w:rsidR="001B6AA2" w:rsidRDefault="00A437F8" w:rsidP="001B6AA2">
      <w:pPr>
        <w:spacing w:line="240" w:lineRule="auto"/>
        <w:ind w:left="720"/>
        <w:jc w:val="both"/>
        <w:rPr>
          <w:rFonts w:ascii="Arial" w:hAnsi="Arial" w:cs="Arial"/>
          <w:b/>
          <w:i/>
          <w:sz w:val="24"/>
          <w:szCs w:val="24"/>
        </w:rPr>
      </w:pPr>
      <w:r>
        <w:rPr>
          <w:rFonts w:ascii="Arial" w:hAnsi="Arial" w:cs="Arial"/>
          <w:b/>
          <w:i/>
          <w:sz w:val="24"/>
          <w:szCs w:val="24"/>
        </w:rPr>
        <w:t>Πρόγνωση</w:t>
      </w:r>
    </w:p>
    <w:p w:rsidR="006E422D" w:rsidRDefault="001B6AA2" w:rsidP="001B6AA2">
      <w:pPr>
        <w:spacing w:line="240" w:lineRule="auto"/>
        <w:ind w:left="720"/>
        <w:jc w:val="both"/>
        <w:rPr>
          <w:rFonts w:ascii="Arial" w:hAnsi="Arial" w:cs="Arial"/>
          <w:b/>
          <w:i/>
          <w:sz w:val="24"/>
          <w:szCs w:val="24"/>
        </w:rPr>
      </w:pPr>
      <w:r>
        <w:rPr>
          <w:rFonts w:ascii="Arial" w:hAnsi="Arial" w:cs="Arial"/>
          <w:sz w:val="24"/>
          <w:szCs w:val="24"/>
        </w:rPr>
        <w:t>Μεγάλες μελέτες απο τους Howe, Bakaeen και Ryder κατέληξαν στο</w:t>
      </w:r>
    </w:p>
    <w:p w:rsidR="00A437F8" w:rsidRPr="000A0DA0" w:rsidRDefault="001B6AA2" w:rsidP="006E422D">
      <w:pPr>
        <w:spacing w:line="240" w:lineRule="auto"/>
        <w:jc w:val="both"/>
        <w:rPr>
          <w:rFonts w:ascii="Arial" w:hAnsi="Arial" w:cs="Arial"/>
          <w:sz w:val="24"/>
          <w:szCs w:val="24"/>
        </w:rPr>
      </w:pPr>
      <w:r>
        <w:rPr>
          <w:rFonts w:ascii="Arial" w:hAnsi="Arial" w:cs="Arial"/>
          <w:sz w:val="24"/>
          <w:szCs w:val="24"/>
        </w:rPr>
        <w:t xml:space="preserve">συμπέρασμα ότι οι σημαντικότεροι προγνωστικοί παράγοντες, για την εξέλιξη της νόσου, είναι: </w:t>
      </w:r>
      <w:r w:rsidR="006E422D">
        <w:rPr>
          <w:rFonts w:ascii="Arial" w:hAnsi="Arial" w:cs="Arial"/>
          <w:sz w:val="24"/>
          <w:szCs w:val="24"/>
        </w:rPr>
        <w:t>η ηλικία του ασθενούς, η εντόπιση του όγκου, με ευνοϊκότερη εξέλιξη να εμφανίζουν οι όγκοι στη νήστιδα και στον ειλεό, το κλινικό στάδιο, ο ιστολογικός βαθμός κακοήθειας του όγκου  και η ριζικότητα της επέμβασης.</w:t>
      </w:r>
      <w:r w:rsidR="00AF4638">
        <w:rPr>
          <w:rFonts w:ascii="Arial" w:hAnsi="Arial" w:cs="Arial"/>
          <w:sz w:val="24"/>
          <w:szCs w:val="24"/>
          <w:vertAlign w:val="superscript"/>
        </w:rPr>
        <w:t>24,25,26</w:t>
      </w:r>
      <w:r w:rsidR="00337555">
        <w:rPr>
          <w:rFonts w:ascii="Arial" w:hAnsi="Arial" w:cs="Arial"/>
          <w:sz w:val="24"/>
          <w:szCs w:val="24"/>
        </w:rPr>
        <w:t xml:space="preserve"> </w:t>
      </w:r>
    </w:p>
    <w:p w:rsidR="000A0DA0" w:rsidRPr="006D3893" w:rsidRDefault="000A0DA0" w:rsidP="006E422D">
      <w:pPr>
        <w:spacing w:line="240" w:lineRule="auto"/>
        <w:jc w:val="both"/>
        <w:rPr>
          <w:rFonts w:ascii="Arial" w:hAnsi="Arial" w:cs="Arial"/>
          <w:sz w:val="24"/>
          <w:szCs w:val="24"/>
        </w:rPr>
      </w:pPr>
    </w:p>
    <w:p w:rsidR="000A0DA0" w:rsidRPr="00D92532" w:rsidRDefault="000A0DA0" w:rsidP="00D92532">
      <w:pPr>
        <w:spacing w:line="240" w:lineRule="auto"/>
        <w:jc w:val="both"/>
        <w:rPr>
          <w:rFonts w:ascii="Arial" w:hAnsi="Arial" w:cs="Arial"/>
          <w:sz w:val="24"/>
          <w:szCs w:val="24"/>
        </w:rPr>
      </w:pPr>
      <w:r w:rsidRPr="006D3893">
        <w:rPr>
          <w:rFonts w:ascii="Arial" w:hAnsi="Arial" w:cs="Arial"/>
          <w:sz w:val="24"/>
          <w:szCs w:val="24"/>
        </w:rPr>
        <w:tab/>
      </w:r>
      <w:r>
        <w:rPr>
          <w:rFonts w:ascii="Arial" w:hAnsi="Arial" w:cs="Arial"/>
          <w:b/>
          <w:sz w:val="24"/>
          <w:szCs w:val="24"/>
        </w:rPr>
        <w:t>ΚΑΡΚΙΝΟΕΙΔΕΣ</w:t>
      </w:r>
    </w:p>
    <w:p w:rsidR="00C51986" w:rsidRDefault="006D3893" w:rsidP="00C51986">
      <w:pPr>
        <w:spacing w:line="240" w:lineRule="auto"/>
        <w:ind w:firstLine="720"/>
        <w:jc w:val="both"/>
        <w:rPr>
          <w:rFonts w:ascii="Arial" w:hAnsi="Arial" w:cs="Arial"/>
          <w:sz w:val="24"/>
          <w:szCs w:val="24"/>
        </w:rPr>
      </w:pPr>
      <w:r>
        <w:rPr>
          <w:rFonts w:ascii="Arial" w:hAnsi="Arial" w:cs="Arial"/>
          <w:sz w:val="24"/>
          <w:szCs w:val="24"/>
        </w:rPr>
        <w:t xml:space="preserve">Ο όρος καρκινοειδές χρησιμοποιήθηκε για πρώτη φορά από τον </w:t>
      </w:r>
      <w:r>
        <w:rPr>
          <w:rFonts w:ascii="Arial" w:hAnsi="Arial" w:cs="Arial"/>
          <w:sz w:val="24"/>
          <w:szCs w:val="24"/>
          <w:lang w:val="en-US"/>
        </w:rPr>
        <w:t>Obemdorfer</w:t>
      </w:r>
      <w:r w:rsidRPr="006D3893">
        <w:rPr>
          <w:rFonts w:ascii="Arial" w:hAnsi="Arial" w:cs="Arial"/>
          <w:sz w:val="24"/>
          <w:szCs w:val="24"/>
        </w:rPr>
        <w:t xml:space="preserve"> το 1907 για να </w:t>
      </w:r>
      <w:r w:rsidR="00F37400">
        <w:rPr>
          <w:rFonts w:ascii="Arial" w:hAnsi="Arial" w:cs="Arial"/>
          <w:sz w:val="24"/>
          <w:szCs w:val="24"/>
        </w:rPr>
        <w:t>περιγράψει ορμονικά ενεργείς όγκους, οι οποίοι ακολουθούν μια περισσότερο καλοήθη πορεία από άλλους κακοήθεις όγκους.</w:t>
      </w:r>
      <w:r w:rsidR="00880739">
        <w:rPr>
          <w:rFonts w:ascii="Arial" w:hAnsi="Arial" w:cs="Arial"/>
          <w:sz w:val="24"/>
          <w:szCs w:val="24"/>
        </w:rPr>
        <w:t xml:space="preserve"> </w:t>
      </w:r>
    </w:p>
    <w:p w:rsidR="00C51986" w:rsidRDefault="00880739" w:rsidP="00C51986">
      <w:pPr>
        <w:spacing w:line="240" w:lineRule="auto"/>
        <w:ind w:firstLine="720"/>
        <w:jc w:val="both"/>
        <w:rPr>
          <w:rFonts w:ascii="Arial" w:hAnsi="Arial" w:cs="Arial"/>
          <w:sz w:val="24"/>
          <w:szCs w:val="24"/>
        </w:rPr>
      </w:pPr>
      <w:r>
        <w:rPr>
          <w:rFonts w:ascii="Arial" w:hAnsi="Arial" w:cs="Arial"/>
          <w:sz w:val="24"/>
          <w:szCs w:val="24"/>
        </w:rPr>
        <w:t xml:space="preserve">Το καρκινοειδές του λεπτού εντέρου, ένας καλά διαφοροποιημένος νευροενδοκρινής όγκος, αποτελεί τον πιο συχνό κακοήθη όγκο του περιφερικού τμήματος του λεπτού εντέρου και η συχνότητα εμφάνισής του </w:t>
      </w:r>
      <w:r>
        <w:rPr>
          <w:rFonts w:ascii="Arial" w:hAnsi="Arial" w:cs="Arial"/>
          <w:sz w:val="24"/>
          <w:szCs w:val="24"/>
        </w:rPr>
        <w:lastRenderedPageBreak/>
        <w:t xml:space="preserve">υπολογίζεται σε 1 ανά 300 αυτοψίες, ενώ </w:t>
      </w:r>
      <w:r w:rsidR="00520CC3">
        <w:rPr>
          <w:rFonts w:ascii="Arial" w:hAnsi="Arial" w:cs="Arial"/>
          <w:sz w:val="24"/>
          <w:szCs w:val="24"/>
        </w:rPr>
        <w:t>η συχνότητα εμφάνισης μεταστάσεων είναι μικρή και υπολογίζεται σε 1/300.000 περιπτώσεις. Συχνότερες εντοπίσεις των μεταστάσεων αποτελούν οι επιχώριοι και οι παραορτικοί λεμφαδένες και το ήπαρ. Να σημειωθεί ότι η παρουσία απομακρυσμένων μεταστάσεων και κυρίως στο ήπαρ, μπορεί να συνοδεύεται από την εμφάνιση του καρκινοειδούς συνδρόμου.</w:t>
      </w:r>
      <w:r w:rsidR="00BC75EC">
        <w:rPr>
          <w:rFonts w:ascii="Arial" w:hAnsi="Arial" w:cs="Arial"/>
          <w:sz w:val="24"/>
          <w:szCs w:val="24"/>
        </w:rPr>
        <w:t xml:space="preserve"> </w:t>
      </w:r>
    </w:p>
    <w:p w:rsidR="006D3893" w:rsidRDefault="00BC75EC" w:rsidP="00C51986">
      <w:pPr>
        <w:spacing w:line="240" w:lineRule="auto"/>
        <w:ind w:firstLine="720"/>
        <w:jc w:val="both"/>
        <w:rPr>
          <w:rFonts w:ascii="Arial" w:hAnsi="Arial" w:cs="Arial"/>
          <w:sz w:val="24"/>
          <w:szCs w:val="24"/>
        </w:rPr>
      </w:pPr>
      <w:r>
        <w:rPr>
          <w:rFonts w:ascii="Arial" w:hAnsi="Arial" w:cs="Arial"/>
          <w:sz w:val="24"/>
          <w:szCs w:val="24"/>
        </w:rPr>
        <w:t>Η σχέση καρκινοειδών όγκων και των συμπτωμάτων του καρκινοε</w:t>
      </w:r>
      <w:r w:rsidR="00D92532">
        <w:rPr>
          <w:rFonts w:ascii="Arial" w:hAnsi="Arial" w:cs="Arial"/>
          <w:sz w:val="24"/>
          <w:szCs w:val="24"/>
        </w:rPr>
        <w:t>ιδούς συνδρόμου:</w:t>
      </w:r>
      <w:r>
        <w:rPr>
          <w:rFonts w:ascii="Arial" w:hAnsi="Arial" w:cs="Arial"/>
          <w:sz w:val="24"/>
          <w:szCs w:val="24"/>
        </w:rPr>
        <w:t xml:space="preserve"> ερυθρότητα δέρματος, διάρροια, βρογχόσπασμος και </w:t>
      </w:r>
      <w:r w:rsidR="00D24905">
        <w:rPr>
          <w:rFonts w:ascii="Arial" w:hAnsi="Arial" w:cs="Arial"/>
          <w:sz w:val="24"/>
          <w:szCs w:val="24"/>
        </w:rPr>
        <w:t xml:space="preserve">δεξιά </w:t>
      </w:r>
      <w:r>
        <w:rPr>
          <w:rFonts w:ascii="Arial" w:hAnsi="Arial" w:cs="Arial"/>
          <w:sz w:val="24"/>
          <w:szCs w:val="24"/>
        </w:rPr>
        <w:t>καρδιακή</w:t>
      </w:r>
      <w:r w:rsidR="00D24905">
        <w:rPr>
          <w:rFonts w:ascii="Arial" w:hAnsi="Arial" w:cs="Arial"/>
          <w:sz w:val="24"/>
          <w:szCs w:val="24"/>
        </w:rPr>
        <w:t xml:space="preserve"> βαλβιδική</w:t>
      </w:r>
      <w:r>
        <w:rPr>
          <w:rFonts w:ascii="Arial" w:hAnsi="Arial" w:cs="Arial"/>
          <w:sz w:val="24"/>
          <w:szCs w:val="24"/>
        </w:rPr>
        <w:t xml:space="preserve"> νόσος, περιγράφηκε για πρώτη φορά από τον Thorson το 1954.</w:t>
      </w:r>
      <w:r>
        <w:rPr>
          <w:rFonts w:ascii="Arial" w:hAnsi="Arial" w:cs="Arial"/>
          <w:sz w:val="24"/>
          <w:szCs w:val="24"/>
          <w:vertAlign w:val="superscript"/>
        </w:rPr>
        <w:t>27</w:t>
      </w:r>
      <w:r>
        <w:rPr>
          <w:rFonts w:ascii="Arial" w:hAnsi="Arial" w:cs="Arial"/>
          <w:sz w:val="24"/>
          <w:szCs w:val="24"/>
        </w:rPr>
        <w:t xml:space="preserve"> </w:t>
      </w:r>
      <w:r w:rsidR="007C58C2">
        <w:rPr>
          <w:rFonts w:ascii="Arial" w:hAnsi="Arial" w:cs="Arial"/>
          <w:sz w:val="24"/>
          <w:szCs w:val="24"/>
        </w:rPr>
        <w:t xml:space="preserve">Το εύρημα ότι η παρουσία της ουσίας 5-υδροξυτρυπταμίνης (σεροτονίνης) είναι εμφανής στους καρκινοειδείς όγκους και ότι οι ασθενείς με καρκινοειδές σύνδρομο </w:t>
      </w:r>
      <w:r w:rsidR="00FE6D48">
        <w:rPr>
          <w:rFonts w:ascii="Arial" w:hAnsi="Arial" w:cs="Arial"/>
          <w:sz w:val="24"/>
          <w:szCs w:val="24"/>
        </w:rPr>
        <w:t>αποβάλ</w:t>
      </w:r>
      <w:r w:rsidR="00AF17CA">
        <w:rPr>
          <w:rFonts w:ascii="Arial" w:hAnsi="Arial" w:cs="Arial"/>
          <w:sz w:val="24"/>
          <w:szCs w:val="24"/>
        </w:rPr>
        <w:t>λ</w:t>
      </w:r>
      <w:r w:rsidR="00FE6D48">
        <w:rPr>
          <w:rFonts w:ascii="Arial" w:hAnsi="Arial" w:cs="Arial"/>
          <w:sz w:val="24"/>
          <w:szCs w:val="24"/>
        </w:rPr>
        <w:t>ουν αυξημένες ποσότητες 5-υδροξυινδολοξεικού οξέος, μεταβολίτου της σεροτονίνης, οδήγησε στην υπόθεση ότι οι εκδηλώσεις του καρκινοειδούς συνδρόμου οφείλονται σε υπερπαραγωγή σεροτονίνης από τους όγκους αυτούς.</w:t>
      </w:r>
      <w:r w:rsidR="007C58C2">
        <w:rPr>
          <w:rFonts w:ascii="Arial" w:hAnsi="Arial" w:cs="Arial"/>
          <w:sz w:val="24"/>
          <w:szCs w:val="24"/>
        </w:rPr>
        <w:t xml:space="preserve"> </w:t>
      </w:r>
    </w:p>
    <w:p w:rsidR="00FE6D48" w:rsidRDefault="00FE6D48" w:rsidP="00C51986">
      <w:pPr>
        <w:spacing w:line="240" w:lineRule="auto"/>
        <w:ind w:firstLine="720"/>
        <w:jc w:val="both"/>
        <w:rPr>
          <w:rFonts w:ascii="Arial" w:hAnsi="Arial" w:cs="Arial"/>
          <w:b/>
          <w:i/>
          <w:sz w:val="24"/>
          <w:szCs w:val="24"/>
        </w:rPr>
      </w:pPr>
      <w:r>
        <w:rPr>
          <w:rFonts w:ascii="Arial" w:hAnsi="Arial" w:cs="Arial"/>
          <w:b/>
          <w:i/>
          <w:sz w:val="24"/>
          <w:szCs w:val="24"/>
        </w:rPr>
        <w:t>Παθοφυσιολογία</w:t>
      </w:r>
    </w:p>
    <w:p w:rsidR="00CE665F" w:rsidRDefault="00CE665F" w:rsidP="00C51986">
      <w:pPr>
        <w:spacing w:line="240" w:lineRule="auto"/>
        <w:ind w:firstLine="720"/>
        <w:jc w:val="both"/>
        <w:rPr>
          <w:rFonts w:ascii="Arial" w:hAnsi="Arial" w:cs="Arial"/>
          <w:sz w:val="24"/>
          <w:szCs w:val="24"/>
        </w:rPr>
      </w:pPr>
      <w:r>
        <w:rPr>
          <w:rFonts w:ascii="Arial" w:hAnsi="Arial" w:cs="Arial"/>
          <w:sz w:val="24"/>
          <w:szCs w:val="24"/>
        </w:rPr>
        <w:t xml:space="preserve">Οι καρκινοειδείς όγκοι του λεπτού εντέρου εξορμώνται από τα χρωμόφιλα κύτταρα ή κύτταρα του Kulchitsky, </w:t>
      </w:r>
      <w:r w:rsidR="00DB2C0C">
        <w:rPr>
          <w:rFonts w:ascii="Arial" w:hAnsi="Arial" w:cs="Arial"/>
          <w:sz w:val="24"/>
          <w:szCs w:val="24"/>
        </w:rPr>
        <w:t xml:space="preserve">τα οποία βρίσκονται διάσπαρτα στις εντερικές κρύπτες του Lieberkuhn. Τα κύτταρα αυτά αναφέρονται στη βιβλιογραφία και ως αργυρόφιλα κύτταρα, λόγω της χημικής συγγένειάς τους με τις χρωστικές του αργύρου. </w:t>
      </w:r>
    </w:p>
    <w:p w:rsidR="00A97DF2" w:rsidRPr="001067B9" w:rsidRDefault="00A97DF2" w:rsidP="00C51986">
      <w:pPr>
        <w:spacing w:line="240" w:lineRule="auto"/>
        <w:ind w:firstLine="720"/>
        <w:jc w:val="both"/>
        <w:rPr>
          <w:rFonts w:ascii="Arial" w:hAnsi="Arial" w:cs="Arial"/>
          <w:sz w:val="24"/>
          <w:szCs w:val="24"/>
        </w:rPr>
      </w:pPr>
      <w:r>
        <w:rPr>
          <w:rFonts w:ascii="Arial" w:hAnsi="Arial" w:cs="Arial"/>
          <w:sz w:val="24"/>
          <w:szCs w:val="24"/>
        </w:rPr>
        <w:t>Τα χρωμόφιλα κύτταρα του λεπτού εντέρου ανήκουν σε ένα σύστημα ενδοκρινικών κυττάρων, τα οποία ανευρίσκονται και σε άλλα όργανα όπως τα επινεφρίδια,</w:t>
      </w:r>
      <w:r w:rsidR="00F21940">
        <w:rPr>
          <w:rFonts w:ascii="Arial" w:hAnsi="Arial" w:cs="Arial"/>
          <w:sz w:val="24"/>
          <w:szCs w:val="24"/>
        </w:rPr>
        <w:t xml:space="preserve"> ο θυρεοειδής αδένας, οι πνεύμονες και το πάγκρεας και τα οποία εκκρίνουν πολυπεπτίδια</w:t>
      </w:r>
      <w:r w:rsidR="00A83E0D">
        <w:rPr>
          <w:rFonts w:ascii="Arial" w:hAnsi="Arial" w:cs="Arial"/>
          <w:sz w:val="24"/>
          <w:szCs w:val="24"/>
        </w:rPr>
        <w:t>,</w:t>
      </w:r>
      <w:r w:rsidR="00F21940">
        <w:rPr>
          <w:rFonts w:ascii="Arial" w:hAnsi="Arial" w:cs="Arial"/>
          <w:sz w:val="24"/>
          <w:szCs w:val="24"/>
        </w:rPr>
        <w:t xml:space="preserve"> μέσω ενός μηχανισμού</w:t>
      </w:r>
      <w:r w:rsidR="00BF07DD">
        <w:rPr>
          <w:rFonts w:ascii="Arial" w:hAnsi="Arial" w:cs="Arial"/>
          <w:sz w:val="24"/>
          <w:szCs w:val="24"/>
        </w:rPr>
        <w:t xml:space="preserve"> πρόσληψης και</w:t>
      </w:r>
      <w:r w:rsidR="00F21940">
        <w:rPr>
          <w:rFonts w:ascii="Arial" w:hAnsi="Arial" w:cs="Arial"/>
          <w:sz w:val="24"/>
          <w:szCs w:val="24"/>
        </w:rPr>
        <w:t xml:space="preserve"> αποκαρβοξυλίωσης πρόδρομων αμινοξέων των βιογενών αμινών, όπως της σεροτονίνης και των κατεχολαμινών.</w:t>
      </w:r>
      <w:r w:rsidR="00F21940">
        <w:rPr>
          <w:rFonts w:ascii="Arial" w:hAnsi="Arial" w:cs="Arial"/>
          <w:sz w:val="24"/>
          <w:szCs w:val="24"/>
          <w:vertAlign w:val="superscript"/>
        </w:rPr>
        <w:t>28</w:t>
      </w:r>
      <w:r w:rsidR="00F21940">
        <w:rPr>
          <w:rFonts w:ascii="Arial" w:hAnsi="Arial" w:cs="Arial"/>
          <w:sz w:val="24"/>
          <w:szCs w:val="24"/>
        </w:rPr>
        <w:t xml:space="preserve"> </w:t>
      </w:r>
      <w:r w:rsidR="00907A14">
        <w:rPr>
          <w:rFonts w:ascii="Arial" w:hAnsi="Arial" w:cs="Arial"/>
          <w:sz w:val="24"/>
          <w:szCs w:val="24"/>
        </w:rPr>
        <w:t>Το σύστημα αυτό των ενδοκρινικών κυττάρων</w:t>
      </w:r>
      <w:r w:rsidR="00FE4D9F" w:rsidRPr="00FE4D9F">
        <w:rPr>
          <w:rFonts w:ascii="Arial" w:hAnsi="Arial" w:cs="Arial"/>
          <w:sz w:val="24"/>
          <w:szCs w:val="24"/>
        </w:rPr>
        <w:t xml:space="preserve"> (</w:t>
      </w:r>
      <w:r w:rsidR="00FE4D9F">
        <w:rPr>
          <w:rFonts w:ascii="Arial" w:hAnsi="Arial" w:cs="Arial"/>
          <w:sz w:val="24"/>
          <w:szCs w:val="24"/>
          <w:lang w:val="en-US"/>
        </w:rPr>
        <w:t>APUD</w:t>
      </w:r>
      <w:r w:rsidR="00FE4D9F" w:rsidRPr="00FE4D9F">
        <w:rPr>
          <w:rFonts w:ascii="Arial" w:hAnsi="Arial" w:cs="Arial"/>
          <w:sz w:val="24"/>
          <w:szCs w:val="24"/>
        </w:rPr>
        <w:t>)</w:t>
      </w:r>
      <w:r w:rsidR="00907A14">
        <w:rPr>
          <w:rFonts w:ascii="Arial" w:hAnsi="Arial" w:cs="Arial"/>
          <w:sz w:val="24"/>
          <w:szCs w:val="24"/>
        </w:rPr>
        <w:t xml:space="preserve"> έχει κοινή εμβρυϊκή καταβολή από το νευρικό έξω βλαστικό δέρμα και η δυσπλασία του έξω βλαστικού δέρματος μπορεί να εξηγήσει την εμφάνιση πολλαπλών ενδοκρινικών νεοπλασιών και τη</w:t>
      </w:r>
      <w:r w:rsidR="00A40ED5">
        <w:rPr>
          <w:rFonts w:ascii="Arial" w:hAnsi="Arial" w:cs="Arial"/>
          <w:sz w:val="24"/>
          <w:szCs w:val="24"/>
        </w:rPr>
        <w:t>ν</w:t>
      </w:r>
      <w:r w:rsidR="00907A14">
        <w:rPr>
          <w:rFonts w:ascii="Arial" w:hAnsi="Arial" w:cs="Arial"/>
          <w:sz w:val="24"/>
          <w:szCs w:val="24"/>
        </w:rPr>
        <w:t xml:space="preserve"> παραγωγή ποικιλίας πεπτιδικών ορμονών.</w:t>
      </w:r>
      <w:r w:rsidR="00A40ED5">
        <w:rPr>
          <w:rFonts w:ascii="Arial" w:hAnsi="Arial" w:cs="Arial"/>
          <w:sz w:val="24"/>
          <w:szCs w:val="24"/>
        </w:rPr>
        <w:t xml:space="preserve"> Έτσι, παρατηρούνται ιστολογικές ομοιότητες των καρκινοειδών όγκων με νησιδιακούς όγκους του παγκρέατος και με μυελοειδή καρκινώματα του θυρεοειδούς όπως, επίσης, όγκοι που ιστολογικά εμφανίζονται ως καρκινοειδή μπορεί να παράγουν, εκτός της σεροτονίνης, γαστρίνη, καλσιτονίνη, ινσουλίνη, νευροτενσίνη και κατεχολαμίνες. </w:t>
      </w:r>
      <w:r w:rsidR="00BA0E5C">
        <w:rPr>
          <w:rFonts w:ascii="Arial" w:hAnsi="Arial" w:cs="Arial"/>
          <w:sz w:val="24"/>
          <w:szCs w:val="24"/>
        </w:rPr>
        <w:t>Η κοινή αυτή εμβρυϊ</w:t>
      </w:r>
      <w:r w:rsidR="00287BA2">
        <w:rPr>
          <w:rFonts w:ascii="Arial" w:hAnsi="Arial" w:cs="Arial"/>
          <w:sz w:val="24"/>
          <w:szCs w:val="24"/>
        </w:rPr>
        <w:t>κή καταγωγή μπορεί, τέλος, να εξηγήσει το γεγονός της παρουσίας πολλαπλών πρωτοπαθών καρκινοειδών όγκων σε ένα ασθενή.</w:t>
      </w:r>
    </w:p>
    <w:p w:rsidR="002B44FC" w:rsidRPr="001067B9" w:rsidRDefault="002B44FC" w:rsidP="00C51986">
      <w:pPr>
        <w:spacing w:line="240" w:lineRule="auto"/>
        <w:ind w:firstLine="720"/>
        <w:jc w:val="both"/>
        <w:rPr>
          <w:rFonts w:ascii="Arial" w:hAnsi="Arial" w:cs="Arial"/>
          <w:sz w:val="24"/>
          <w:szCs w:val="24"/>
        </w:rPr>
      </w:pPr>
    </w:p>
    <w:p w:rsidR="002B44FC" w:rsidRDefault="002B44FC" w:rsidP="00C51986">
      <w:pPr>
        <w:spacing w:line="240" w:lineRule="auto"/>
        <w:ind w:firstLine="720"/>
        <w:jc w:val="both"/>
        <w:rPr>
          <w:rFonts w:ascii="Arial" w:hAnsi="Arial" w:cs="Arial"/>
          <w:b/>
          <w:i/>
          <w:sz w:val="24"/>
          <w:szCs w:val="24"/>
        </w:rPr>
      </w:pPr>
      <w:r>
        <w:rPr>
          <w:rFonts w:ascii="Arial" w:hAnsi="Arial" w:cs="Arial"/>
          <w:b/>
          <w:i/>
          <w:sz w:val="24"/>
          <w:szCs w:val="24"/>
        </w:rPr>
        <w:t>Επιδημιολογικά χαρακτηριστικά</w:t>
      </w:r>
    </w:p>
    <w:p w:rsidR="002B44FC" w:rsidRDefault="002B44FC" w:rsidP="00C51986">
      <w:pPr>
        <w:spacing w:line="240" w:lineRule="auto"/>
        <w:ind w:firstLine="720"/>
        <w:jc w:val="both"/>
        <w:rPr>
          <w:rFonts w:ascii="Arial" w:hAnsi="Arial" w:cs="Arial"/>
          <w:sz w:val="24"/>
          <w:szCs w:val="24"/>
        </w:rPr>
      </w:pPr>
      <w:r>
        <w:rPr>
          <w:rFonts w:ascii="Arial" w:hAnsi="Arial" w:cs="Arial"/>
          <w:sz w:val="24"/>
          <w:szCs w:val="24"/>
        </w:rPr>
        <w:t>Όπως έχει ήδη αναφερθεί</w:t>
      </w:r>
      <w:r w:rsidR="0084595E">
        <w:rPr>
          <w:rFonts w:ascii="Arial" w:hAnsi="Arial" w:cs="Arial"/>
          <w:sz w:val="24"/>
          <w:szCs w:val="24"/>
        </w:rPr>
        <w:t>,</w:t>
      </w:r>
      <w:r>
        <w:rPr>
          <w:rFonts w:ascii="Arial" w:hAnsi="Arial" w:cs="Arial"/>
          <w:sz w:val="24"/>
          <w:szCs w:val="24"/>
        </w:rPr>
        <w:t xml:space="preserve"> η συχνότητα εμφ</w:t>
      </w:r>
      <w:r w:rsidR="00A43B52">
        <w:rPr>
          <w:rFonts w:ascii="Arial" w:hAnsi="Arial" w:cs="Arial"/>
          <w:sz w:val="24"/>
          <w:szCs w:val="24"/>
        </w:rPr>
        <w:t>άνισης καρκινοει</w:t>
      </w:r>
      <w:r>
        <w:rPr>
          <w:rFonts w:ascii="Arial" w:hAnsi="Arial" w:cs="Arial"/>
          <w:sz w:val="24"/>
          <w:szCs w:val="24"/>
        </w:rPr>
        <w:t xml:space="preserve">δών όγκων υπολογίζεται σε 1/300 </w:t>
      </w:r>
      <w:r w:rsidR="00A43B52">
        <w:rPr>
          <w:rFonts w:ascii="Arial" w:hAnsi="Arial" w:cs="Arial"/>
          <w:sz w:val="24"/>
          <w:szCs w:val="24"/>
        </w:rPr>
        <w:t>ασθενε</w:t>
      </w:r>
      <w:r w:rsidR="0058635E">
        <w:rPr>
          <w:rFonts w:ascii="Arial" w:hAnsi="Arial" w:cs="Arial"/>
          <w:sz w:val="24"/>
          <w:szCs w:val="24"/>
        </w:rPr>
        <w:t>ίς,</w:t>
      </w:r>
      <w:r w:rsidR="00A43B52">
        <w:rPr>
          <w:rFonts w:ascii="Arial" w:hAnsi="Arial" w:cs="Arial"/>
          <w:sz w:val="24"/>
          <w:szCs w:val="24"/>
        </w:rPr>
        <w:t xml:space="preserve"> η συχνότητα του καρκινοειδούς συνδρόμου σε 1/300.000 περιπτ</w:t>
      </w:r>
      <w:r w:rsidR="0058635E">
        <w:rPr>
          <w:rFonts w:ascii="Arial" w:hAnsi="Arial" w:cs="Arial"/>
          <w:sz w:val="24"/>
          <w:szCs w:val="24"/>
        </w:rPr>
        <w:t>ώσεις και οι δύο στους τρείς καρκινοειδείς όγκους αφορούν το πεπτικό σύστημα. Η επίπτωση σε άνδρες και γυναίκες είναι ίδια, ενώ δεν παρατηρήθηκε διαφορά στην επίπτωση μεταξύ των διαφόρων φυλών</w:t>
      </w:r>
      <w:r w:rsidR="000A1239">
        <w:rPr>
          <w:rFonts w:ascii="Arial" w:hAnsi="Arial" w:cs="Arial"/>
          <w:sz w:val="24"/>
          <w:szCs w:val="24"/>
        </w:rPr>
        <w:t xml:space="preserve">. Η συχνότητα εμφάνισης της νόσου φθάνει τη μέγιστη τιμή </w:t>
      </w:r>
      <w:r w:rsidR="000A1239">
        <w:rPr>
          <w:rFonts w:ascii="Arial" w:hAnsi="Arial" w:cs="Arial"/>
          <w:sz w:val="24"/>
          <w:szCs w:val="24"/>
        </w:rPr>
        <w:lastRenderedPageBreak/>
        <w:t>της στα 62 χρόνια, ενώ είναι πολύ μικρή σε νεαρά άτομα και αυτό αποδίδεται στο γεγονός ότι τα αργυρόφιλα κύτταρα, από τα οποία εξορμώνται οι καρκινοειδείς όγκοι, αναγνωρίζονται μόνο σε παιδιά μεγαλύτερα των 4 ετών.</w:t>
      </w:r>
      <w:r w:rsidR="008457CB">
        <w:rPr>
          <w:rFonts w:ascii="Arial" w:hAnsi="Arial" w:cs="Arial"/>
          <w:sz w:val="24"/>
          <w:szCs w:val="24"/>
          <w:vertAlign w:val="superscript"/>
        </w:rPr>
        <w:t>29</w:t>
      </w:r>
      <w:r w:rsidR="0058635E">
        <w:rPr>
          <w:rFonts w:ascii="Arial" w:hAnsi="Arial" w:cs="Arial"/>
          <w:sz w:val="24"/>
          <w:szCs w:val="24"/>
        </w:rPr>
        <w:t xml:space="preserve"> </w:t>
      </w:r>
    </w:p>
    <w:p w:rsidR="004847FB" w:rsidRDefault="004847FB" w:rsidP="00C51986">
      <w:pPr>
        <w:spacing w:line="240" w:lineRule="auto"/>
        <w:ind w:firstLine="720"/>
        <w:jc w:val="both"/>
        <w:rPr>
          <w:rFonts w:ascii="Arial" w:hAnsi="Arial" w:cs="Arial"/>
          <w:b/>
          <w:i/>
          <w:sz w:val="24"/>
          <w:szCs w:val="24"/>
        </w:rPr>
      </w:pPr>
      <w:r>
        <w:rPr>
          <w:rFonts w:ascii="Arial" w:hAnsi="Arial" w:cs="Arial"/>
          <w:b/>
          <w:i/>
          <w:sz w:val="24"/>
          <w:szCs w:val="24"/>
        </w:rPr>
        <w:t>Διάκριση των Καρκινοειδών όγκων</w:t>
      </w:r>
    </w:p>
    <w:p w:rsidR="004847FB" w:rsidRPr="00D24905" w:rsidRDefault="004847FB" w:rsidP="00C51986">
      <w:pPr>
        <w:spacing w:line="240" w:lineRule="auto"/>
        <w:ind w:firstLine="720"/>
        <w:jc w:val="both"/>
        <w:rPr>
          <w:rFonts w:ascii="Arial" w:hAnsi="Arial" w:cs="Arial"/>
          <w:sz w:val="24"/>
          <w:szCs w:val="24"/>
        </w:rPr>
      </w:pPr>
      <w:r>
        <w:rPr>
          <w:rFonts w:ascii="Arial" w:hAnsi="Arial" w:cs="Arial"/>
          <w:sz w:val="24"/>
          <w:szCs w:val="24"/>
        </w:rPr>
        <w:t xml:space="preserve">Οι καρκινοειδείς όγκοι εμφανίζουν κλινικές, βιοχημικές και μορφολογικές διαφορές, οι οποίες σχετίζονται με τη θέση εξόρμησής τους. </w:t>
      </w:r>
      <w:r w:rsidR="00C0160C">
        <w:rPr>
          <w:rFonts w:ascii="Arial" w:hAnsi="Arial" w:cs="Arial"/>
          <w:sz w:val="24"/>
          <w:szCs w:val="24"/>
        </w:rPr>
        <w:t>Ένας τρόπος διάκρισής τους στηρίζεται στο εάν εξορμώνται από όργανα που σχηματίζονται από το πρόσθιο εμβρυϊκό έντερο (</w:t>
      </w:r>
      <w:r w:rsidR="00C0160C">
        <w:rPr>
          <w:rFonts w:ascii="Arial" w:hAnsi="Arial" w:cs="Arial"/>
          <w:sz w:val="24"/>
          <w:szCs w:val="24"/>
          <w:lang w:val="en-US"/>
        </w:rPr>
        <w:t>foregut</w:t>
      </w:r>
      <w:r w:rsidR="00C0160C" w:rsidRPr="00C0160C">
        <w:rPr>
          <w:rFonts w:ascii="Arial" w:hAnsi="Arial" w:cs="Arial"/>
          <w:sz w:val="24"/>
          <w:szCs w:val="24"/>
        </w:rPr>
        <w:t>): βρ</w:t>
      </w:r>
      <w:r w:rsidR="00C0160C">
        <w:rPr>
          <w:rFonts w:ascii="Arial" w:hAnsi="Arial" w:cs="Arial"/>
          <w:sz w:val="24"/>
          <w:szCs w:val="24"/>
        </w:rPr>
        <w:t>όγχοι, στόμαχος, πάγκρεας, δωδεκαδάκτυλο, από το μέσο εμβρυϊκό έντερο (midgut): από το σύνδεσμο του Treitz έως τη μεσότητα του εγκαρσίου κόλου και από το οπίσθιο εμβρυϊκό έντερο (hindgut): από το μέσο του εγκαρσίου έως το ορθό. Ένας άλλος τρόπος διάκρισης στηρίζεται στο εάν υπερπαράγουν ή όχι πεπτιδικές ορμόνες: εκκριτικοί και μη εκκριτικοί όγκοι</w:t>
      </w:r>
      <w:r w:rsidR="00BA5E61">
        <w:rPr>
          <w:rFonts w:ascii="Arial" w:hAnsi="Arial" w:cs="Arial"/>
          <w:sz w:val="24"/>
          <w:szCs w:val="24"/>
        </w:rPr>
        <w:t>. Χαρακτηριστικά, οι όγκοι που εξορμώνται από όργανα του μέσου εμβρυϊκού εντέρου εκκρίνουν σεροτονίνη και οι ασθενείς αυτοί αποβάλ</w:t>
      </w:r>
      <w:r w:rsidR="00AF17CA">
        <w:rPr>
          <w:rFonts w:ascii="Arial" w:hAnsi="Arial" w:cs="Arial"/>
          <w:sz w:val="24"/>
          <w:szCs w:val="24"/>
        </w:rPr>
        <w:t>λ</w:t>
      </w:r>
      <w:r w:rsidR="00BA5E61">
        <w:rPr>
          <w:rFonts w:ascii="Arial" w:hAnsi="Arial" w:cs="Arial"/>
          <w:sz w:val="24"/>
          <w:szCs w:val="24"/>
        </w:rPr>
        <w:t xml:space="preserve">ουν αυξημένες ποσότητες 5-υδροξυινδολοξεικού οξέος στα ούρα. Οι όγκοι από το πρόσθιο εμβρυϊκό έντερο εμφανίζουν, συνήθως, μικρή δραστηριότητα του ενζύμου </w:t>
      </w:r>
      <w:r w:rsidR="00905FD0">
        <w:rPr>
          <w:rFonts w:ascii="Arial" w:hAnsi="Arial" w:cs="Arial"/>
          <w:sz w:val="24"/>
          <w:szCs w:val="24"/>
        </w:rPr>
        <w:t>της αποκαρβοξυλάσης των L-αμινοξέων, το οποίο μετατρέπει την 5-υδροξυτρυπτοφάνη σε 5-υδροξυτρυπταμίνη (σεροτονίνη). Έτσι, οι όγκοι αυτοί εκκρίνουν κυρίως 5-υδροξυτρυπτοφάνη αν και μερικές φορές συνυπάρχει και έκκριση σεροτονίνης. Αυτό οφείλεται στο γεγονός ότι μετά την έκκριση της 5-υδροξυτρυπτοφάνης αυτή μεταβολίζεται σε σεροτονίνη και τους μεταβολίτες της σε άλλα όργανα του σώματος.</w:t>
      </w:r>
      <w:r w:rsidR="00AF17CA">
        <w:rPr>
          <w:rFonts w:ascii="Arial" w:hAnsi="Arial" w:cs="Arial"/>
          <w:sz w:val="24"/>
          <w:szCs w:val="24"/>
        </w:rPr>
        <w:t xml:space="preserve"> Έτσι, ασθενείς με καρκινοειδείς όγκους του πρόσθιου εμβρυϊκού εντέρου, ενώ δεν εκκρίνουν άμεσα μεγάλες ποσότητες σεροτονίνης, είναι δυνατό να αποβάλλουν</w:t>
      </w:r>
      <w:r w:rsidR="008D4F4B">
        <w:rPr>
          <w:rFonts w:ascii="Arial" w:hAnsi="Arial" w:cs="Arial"/>
          <w:sz w:val="24"/>
          <w:szCs w:val="24"/>
        </w:rPr>
        <w:t xml:space="preserve"> στα ούρα αυξημένες ποσότητες 5-υδροξυινδολοξεικού οξέος</w:t>
      </w:r>
      <w:r w:rsidR="00B05575">
        <w:rPr>
          <w:rFonts w:ascii="Arial" w:hAnsi="Arial" w:cs="Arial"/>
          <w:sz w:val="24"/>
          <w:szCs w:val="24"/>
        </w:rPr>
        <w:t>. Αντίθετα, όγκοι που εξορμώνται από όργανα του οπισθίου εμβρυϊκού εντέρου δεν εκκρίνουν μεγάλες ποσότητες 5-υδροξυτρυπτοφάνης ή σεροτονίνης και, έτσι, οι ασθενείς αυτοί δεν αποβάλλουν αυξημένες ποσότητες 5-υδροξυινδολοξεικού οξέος στα ούρα.</w:t>
      </w:r>
      <w:r w:rsidR="00AF17CA">
        <w:rPr>
          <w:rFonts w:ascii="Arial" w:hAnsi="Arial" w:cs="Arial"/>
          <w:sz w:val="24"/>
          <w:szCs w:val="24"/>
        </w:rPr>
        <w:t xml:space="preserve"> </w:t>
      </w:r>
    </w:p>
    <w:p w:rsidR="001067B9" w:rsidRDefault="001067B9" w:rsidP="00C51986">
      <w:pPr>
        <w:spacing w:line="240" w:lineRule="auto"/>
        <w:ind w:firstLine="720"/>
        <w:jc w:val="both"/>
        <w:rPr>
          <w:rFonts w:ascii="Arial" w:hAnsi="Arial" w:cs="Arial"/>
          <w:b/>
          <w:i/>
          <w:sz w:val="24"/>
          <w:szCs w:val="24"/>
        </w:rPr>
      </w:pPr>
      <w:r>
        <w:rPr>
          <w:rFonts w:ascii="Arial" w:hAnsi="Arial" w:cs="Arial"/>
          <w:b/>
          <w:i/>
          <w:sz w:val="24"/>
          <w:szCs w:val="24"/>
        </w:rPr>
        <w:t>Κλινικές Εκδηλώσεις</w:t>
      </w:r>
    </w:p>
    <w:p w:rsidR="001067B9" w:rsidRDefault="001067B9" w:rsidP="00C51986">
      <w:pPr>
        <w:spacing w:line="240" w:lineRule="auto"/>
        <w:ind w:firstLine="720"/>
        <w:jc w:val="both"/>
        <w:rPr>
          <w:rFonts w:ascii="Arial" w:hAnsi="Arial" w:cs="Arial"/>
          <w:sz w:val="24"/>
          <w:szCs w:val="24"/>
        </w:rPr>
      </w:pPr>
      <w:r>
        <w:rPr>
          <w:rFonts w:ascii="Arial" w:hAnsi="Arial" w:cs="Arial"/>
          <w:sz w:val="24"/>
          <w:szCs w:val="24"/>
        </w:rPr>
        <w:t xml:space="preserve">Οι κλινικές εκδηλώσεις των καρκινοειδών όγκων διακρίνονται σε </w:t>
      </w:r>
      <w:r w:rsidR="00FB5CA2">
        <w:rPr>
          <w:rFonts w:ascii="Arial" w:hAnsi="Arial" w:cs="Arial"/>
          <w:sz w:val="24"/>
          <w:szCs w:val="24"/>
        </w:rPr>
        <w:t>ενδοκρινικές και μη ενδοκρινικές.</w:t>
      </w:r>
    </w:p>
    <w:p w:rsidR="00FB5CA2" w:rsidRDefault="00FB5CA2" w:rsidP="00C51986">
      <w:pPr>
        <w:spacing w:line="240" w:lineRule="auto"/>
        <w:ind w:firstLine="720"/>
        <w:jc w:val="both"/>
        <w:rPr>
          <w:rFonts w:ascii="Arial" w:hAnsi="Arial" w:cs="Arial"/>
          <w:sz w:val="24"/>
          <w:szCs w:val="24"/>
        </w:rPr>
      </w:pPr>
      <w:r>
        <w:rPr>
          <w:rFonts w:ascii="Arial" w:hAnsi="Arial" w:cs="Arial"/>
          <w:sz w:val="24"/>
          <w:szCs w:val="24"/>
        </w:rPr>
        <w:t>Οι ενδοκρινικές εκδηλώσεις χαρακτηρίζονται με τον όρο καρκινοειδές σύνδρομο και είναι: ερυθρότητα δέρματος,</w:t>
      </w:r>
      <w:r w:rsidR="00AC15F1">
        <w:rPr>
          <w:rFonts w:ascii="Arial" w:hAnsi="Arial" w:cs="Arial"/>
          <w:sz w:val="24"/>
          <w:szCs w:val="24"/>
        </w:rPr>
        <w:t xml:space="preserve"> κυρίως κεφαλής και τραχήλου,</w:t>
      </w:r>
      <w:r>
        <w:rPr>
          <w:rFonts w:ascii="Arial" w:hAnsi="Arial" w:cs="Arial"/>
          <w:sz w:val="24"/>
          <w:szCs w:val="24"/>
        </w:rPr>
        <w:t xml:space="preserve"> διάρροια, βρογχόσπασμος και</w:t>
      </w:r>
      <w:r w:rsidR="00253CE0">
        <w:rPr>
          <w:rFonts w:ascii="Arial" w:hAnsi="Arial" w:cs="Arial"/>
          <w:sz w:val="24"/>
          <w:szCs w:val="24"/>
        </w:rPr>
        <w:t xml:space="preserve"> δεξιά</w:t>
      </w:r>
      <w:r>
        <w:rPr>
          <w:rFonts w:ascii="Arial" w:hAnsi="Arial" w:cs="Arial"/>
          <w:sz w:val="24"/>
          <w:szCs w:val="24"/>
        </w:rPr>
        <w:t xml:space="preserve"> καρδιακή βαλβιδική νόσος. </w:t>
      </w:r>
      <w:r w:rsidR="00C830E0">
        <w:rPr>
          <w:rFonts w:ascii="Arial" w:hAnsi="Arial" w:cs="Arial"/>
          <w:sz w:val="24"/>
          <w:szCs w:val="24"/>
        </w:rPr>
        <w:t xml:space="preserve">Οι περισσότεροι ασθενείς με καρκινοειδείς όγκους δεν εμφανίζουν το σύνδρομο, ενώ οι ενδοκρινικές εκδηλώσεις είναι συχνότερες σε όγκους του μέσου εμβρυϊκού εντέρου και ποικίλουν ανάλογα με το σημείο εξόρμησής τους. Έτσι, ασθενείς με καρκινοειδείς όγκους του λεπτού εντέρου </w:t>
      </w:r>
      <w:r w:rsidR="00AC1426">
        <w:rPr>
          <w:rFonts w:ascii="Arial" w:hAnsi="Arial" w:cs="Arial"/>
          <w:sz w:val="24"/>
          <w:szCs w:val="24"/>
        </w:rPr>
        <w:t>και του αρχικού τμήματος του παχέος εντέρου εμφανίζουν το καρκινοειδές σύνδρομο σε ποσοστό 40-50%. Λιγότερο συχνά το εμφανίζουν ασθενείς με καρκινοειδείς όγκους των βρόγχων, σπάνια εμφανίζεται σε ασθενείς με όγκους της σκωληκοειδούς, ενώ ασθενείς με καρκινοειδείς όγκους του ορθού δεν εμφανίζουν το σύνδρομο ακόμα και σε περιπτώσεις τοπικά εκτεταμένης νόσου ή παρουσίας μεταστάσεων. Η παρουσία του καρκινοειδούς συνδρόμου εξαρτάται</w:t>
      </w:r>
      <w:r w:rsidR="0000770C">
        <w:rPr>
          <w:rFonts w:ascii="Arial" w:hAnsi="Arial" w:cs="Arial"/>
          <w:sz w:val="24"/>
          <w:szCs w:val="24"/>
        </w:rPr>
        <w:t>,</w:t>
      </w:r>
      <w:r w:rsidR="00AC1426">
        <w:rPr>
          <w:rFonts w:ascii="Arial" w:hAnsi="Arial" w:cs="Arial"/>
          <w:sz w:val="24"/>
          <w:szCs w:val="24"/>
        </w:rPr>
        <w:t xml:space="preserve"> επίσης</w:t>
      </w:r>
      <w:r w:rsidR="0000770C">
        <w:rPr>
          <w:rFonts w:ascii="Arial" w:hAnsi="Arial" w:cs="Arial"/>
          <w:sz w:val="24"/>
          <w:szCs w:val="24"/>
        </w:rPr>
        <w:t>,</w:t>
      </w:r>
      <w:r w:rsidR="00AC1426">
        <w:rPr>
          <w:rFonts w:ascii="Arial" w:hAnsi="Arial" w:cs="Arial"/>
          <w:sz w:val="24"/>
          <w:szCs w:val="24"/>
        </w:rPr>
        <w:t xml:space="preserve"> από το μέγεθος του πρωτοπαθούς όγκου και από την </w:t>
      </w:r>
      <w:r w:rsidR="00AC1426">
        <w:rPr>
          <w:rFonts w:ascii="Arial" w:hAnsi="Arial" w:cs="Arial"/>
          <w:sz w:val="24"/>
          <w:szCs w:val="24"/>
        </w:rPr>
        <w:lastRenderedPageBreak/>
        <w:t>παρουσία ή μη μεταστάσεων</w:t>
      </w:r>
      <w:r w:rsidR="009E1B1F">
        <w:rPr>
          <w:rFonts w:ascii="Arial" w:hAnsi="Arial" w:cs="Arial"/>
          <w:sz w:val="24"/>
          <w:szCs w:val="24"/>
        </w:rPr>
        <w:t>. Η εμφάνισή του είναι ασυνήθης σε περιπτώσεις μικρών όγκων, ενώ η παρουσία του συνδυάζεται, σχεδόν πάντοτε, με ηπατικές μεταστάσεις. Η σχέση του συνδρόμου με τις ηπατικές μεταστάσεις αποδίδεται στη μη αποτελεσματική αδρανοποίηση από το ήπαρ των ορμονών που απελευθερώνονται απ</w:t>
      </w:r>
      <w:r w:rsidR="003C2D0F">
        <w:rPr>
          <w:rFonts w:ascii="Arial" w:hAnsi="Arial" w:cs="Arial"/>
          <w:sz w:val="24"/>
          <w:szCs w:val="24"/>
        </w:rPr>
        <w:t>ό ενδοκοιλιακούς</w:t>
      </w:r>
      <w:r w:rsidR="009E1B1F">
        <w:rPr>
          <w:rFonts w:ascii="Arial" w:hAnsi="Arial" w:cs="Arial"/>
          <w:sz w:val="24"/>
          <w:szCs w:val="24"/>
        </w:rPr>
        <w:t xml:space="preserve"> όγκο</w:t>
      </w:r>
      <w:r w:rsidR="003C2D0F">
        <w:rPr>
          <w:rFonts w:ascii="Arial" w:hAnsi="Arial" w:cs="Arial"/>
          <w:sz w:val="24"/>
          <w:szCs w:val="24"/>
        </w:rPr>
        <w:t>υς</w:t>
      </w:r>
      <w:r w:rsidR="009E1B1F">
        <w:rPr>
          <w:rFonts w:ascii="Arial" w:hAnsi="Arial" w:cs="Arial"/>
          <w:sz w:val="24"/>
          <w:szCs w:val="24"/>
        </w:rPr>
        <w:t xml:space="preserve"> στην πυλαία κυκλοφορία.</w:t>
      </w:r>
      <w:r w:rsidR="00AC1426">
        <w:rPr>
          <w:rFonts w:ascii="Arial" w:hAnsi="Arial" w:cs="Arial"/>
          <w:sz w:val="24"/>
          <w:szCs w:val="24"/>
        </w:rPr>
        <w:t xml:space="preserve"> </w:t>
      </w:r>
      <w:r w:rsidR="0000770C">
        <w:rPr>
          <w:rFonts w:ascii="Arial" w:hAnsi="Arial" w:cs="Arial"/>
          <w:sz w:val="24"/>
          <w:szCs w:val="24"/>
        </w:rPr>
        <w:t xml:space="preserve">Επιπλέον, λόγω του ότι η φλεβική αποχέτευση των ηπατικών μεταστάσεων κατευθύνεται στη συστηματική κυκλοφορία, μέσω των ηπατικών φλεβών, οδηγεί τις ορμόνες που παράγονται από τους ηπατικούς μεταστατικούς όγκους </w:t>
      </w:r>
      <w:r w:rsidR="007F6D39">
        <w:rPr>
          <w:rFonts w:ascii="Arial" w:hAnsi="Arial" w:cs="Arial"/>
          <w:sz w:val="24"/>
          <w:szCs w:val="24"/>
        </w:rPr>
        <w:t>στη συστηματική κυκλοφορία παρακάμπτοντας την πυλαία κυκλοφορία.</w:t>
      </w:r>
    </w:p>
    <w:p w:rsidR="00AC15F1" w:rsidRDefault="00AB45ED" w:rsidP="00C51986">
      <w:pPr>
        <w:spacing w:line="240" w:lineRule="auto"/>
        <w:ind w:firstLine="720"/>
        <w:jc w:val="both"/>
        <w:rPr>
          <w:rFonts w:ascii="Arial" w:hAnsi="Arial" w:cs="Arial"/>
          <w:sz w:val="24"/>
          <w:szCs w:val="24"/>
        </w:rPr>
      </w:pPr>
      <w:r>
        <w:rPr>
          <w:rFonts w:ascii="Arial" w:hAnsi="Arial" w:cs="Arial"/>
          <w:sz w:val="24"/>
          <w:szCs w:val="24"/>
        </w:rPr>
        <w:t xml:space="preserve">Η αναγνώριση των μη ενδοκρινικών εκδηλώσεων σε πρώϊμη φάση της νόσου αυξάνει την πιθανότητα διάγνωσης πριν παρουσιασθούν απομακρυσμένες μεταστάσεις </w:t>
      </w:r>
      <w:r w:rsidR="000D2747">
        <w:rPr>
          <w:rFonts w:ascii="Arial" w:hAnsi="Arial" w:cs="Arial"/>
          <w:sz w:val="24"/>
          <w:szCs w:val="24"/>
        </w:rPr>
        <w:t xml:space="preserve"> ή οι ενδοκρινικές εκδηλώσεις της νόσου. Οι ασθενείς με καρκινοειδείς όγκους που εξορμώνται από όργανα του μέσου εμβρυϊκού εντέρου, όπως το λεπτό έντερο, εμφανίζουν συμπτώματα για μεγάλο χρονικό διάστημα (2-5 χρόνια) πριν τη διάγνωση και αυτά είναι: το κοιλιακό άλγος, η διαλείπουσα εντερική απόφραξη και η ψηλαφητή κοιλιακή μάζα, καθένα από τα οποία παρουσι</w:t>
      </w:r>
      <w:r w:rsidR="005606FB">
        <w:rPr>
          <w:rFonts w:ascii="Arial" w:hAnsi="Arial" w:cs="Arial"/>
          <w:sz w:val="24"/>
          <w:szCs w:val="24"/>
        </w:rPr>
        <w:t>άζεται σε ποσοστό</w:t>
      </w:r>
      <w:r w:rsidR="000D2747">
        <w:rPr>
          <w:rFonts w:ascii="Arial" w:hAnsi="Arial" w:cs="Arial"/>
          <w:sz w:val="24"/>
          <w:szCs w:val="24"/>
        </w:rPr>
        <w:t xml:space="preserve"> 50% των ασθενών</w:t>
      </w:r>
      <w:r w:rsidR="005606FB">
        <w:rPr>
          <w:rFonts w:ascii="Arial" w:hAnsi="Arial" w:cs="Arial"/>
          <w:sz w:val="24"/>
          <w:szCs w:val="24"/>
        </w:rPr>
        <w:t xml:space="preserve">.Να σημειωθεί ότι η εντερική απόφραξη συνήθως εμφανίζεται μετά τη διήθηση του μεσεντερίου και την ακόλουθη δεσμοβλαστική αντίδραση, η οποία οδηγεί στη δημιουργία συμφύσεων μεταξύ των εντερικών ελίκων και </w:t>
      </w:r>
      <w:r w:rsidR="0084595E">
        <w:rPr>
          <w:rFonts w:ascii="Arial" w:hAnsi="Arial" w:cs="Arial"/>
          <w:sz w:val="24"/>
          <w:szCs w:val="24"/>
        </w:rPr>
        <w:t>σ</w:t>
      </w:r>
      <w:r w:rsidR="005606FB">
        <w:rPr>
          <w:rFonts w:ascii="Arial" w:hAnsi="Arial" w:cs="Arial"/>
          <w:sz w:val="24"/>
          <w:szCs w:val="24"/>
        </w:rPr>
        <w:t xml:space="preserve">τη δημιουργία μάζας. Έτσι, το σύμπτωμα της υποτροπιάζουσας και διαλείπουσας εντερικής απόφραξης πρέπει να θέτει την υποψία ύπαρξης καρκινοειδούς όγκου.  </w:t>
      </w:r>
    </w:p>
    <w:p w:rsidR="00AB45ED" w:rsidRDefault="00AC15F1" w:rsidP="00C51986">
      <w:pPr>
        <w:spacing w:line="240" w:lineRule="auto"/>
        <w:ind w:firstLine="720"/>
        <w:jc w:val="both"/>
        <w:rPr>
          <w:rFonts w:ascii="Arial" w:hAnsi="Arial" w:cs="Arial"/>
          <w:sz w:val="24"/>
          <w:szCs w:val="24"/>
        </w:rPr>
      </w:pPr>
      <w:r>
        <w:rPr>
          <w:rFonts w:ascii="Arial" w:hAnsi="Arial" w:cs="Arial"/>
          <w:sz w:val="24"/>
          <w:szCs w:val="24"/>
        </w:rPr>
        <w:t>Ειδικότερα</w:t>
      </w:r>
      <w:r w:rsidR="00D12721">
        <w:rPr>
          <w:rFonts w:ascii="Arial" w:hAnsi="Arial" w:cs="Arial"/>
          <w:sz w:val="24"/>
          <w:szCs w:val="24"/>
        </w:rPr>
        <w:t>,</w:t>
      </w:r>
      <w:r>
        <w:rPr>
          <w:rFonts w:ascii="Arial" w:hAnsi="Arial" w:cs="Arial"/>
          <w:sz w:val="24"/>
          <w:szCs w:val="24"/>
        </w:rPr>
        <w:t xml:space="preserve"> τα συμπτώματα των καρκινοειδών όγκων</w:t>
      </w:r>
      <w:r w:rsidR="004B6945">
        <w:rPr>
          <w:rFonts w:ascii="Arial" w:hAnsi="Arial" w:cs="Arial"/>
          <w:sz w:val="24"/>
          <w:szCs w:val="24"/>
        </w:rPr>
        <w:t xml:space="preserve"> του λεπτού εντέρου οφείλονται στην παρουσία του πρωτοπαθούς όγκου, στην ύπαρξη ή μη μεταστατικής νόσου και στο καρκινοειδές σύνδρομο.</w:t>
      </w:r>
      <w:r w:rsidR="00056DFD">
        <w:rPr>
          <w:rFonts w:ascii="Arial" w:hAnsi="Arial" w:cs="Arial"/>
          <w:sz w:val="24"/>
          <w:szCs w:val="24"/>
        </w:rPr>
        <w:t xml:space="preserve"> Να σημειωθεί, όμως, ότι πολλοί καρκινοειδείς όγκοι του λεπτού εντέρου είναι μικροί και ασυμπτωματικοί και η ύπαρξή τους αποδεικνύεται τυχαία κατά τη διάρκεια νεκροτομής.</w:t>
      </w:r>
      <w:r w:rsidR="000D2747">
        <w:rPr>
          <w:rFonts w:ascii="Arial" w:hAnsi="Arial" w:cs="Arial"/>
          <w:sz w:val="24"/>
          <w:szCs w:val="24"/>
        </w:rPr>
        <w:t xml:space="preserve">  </w:t>
      </w:r>
    </w:p>
    <w:p w:rsidR="00EA15C2" w:rsidRDefault="00EA15C2" w:rsidP="003E071D">
      <w:pPr>
        <w:pStyle w:val="ListParagraph"/>
        <w:numPr>
          <w:ilvl w:val="0"/>
          <w:numId w:val="8"/>
        </w:numPr>
        <w:spacing w:line="240" w:lineRule="auto"/>
        <w:jc w:val="both"/>
        <w:rPr>
          <w:rFonts w:ascii="Arial" w:hAnsi="Arial" w:cs="Arial"/>
          <w:sz w:val="24"/>
          <w:szCs w:val="24"/>
        </w:rPr>
      </w:pPr>
      <w:r>
        <w:rPr>
          <w:rFonts w:ascii="Arial" w:hAnsi="Arial" w:cs="Arial"/>
          <w:sz w:val="24"/>
          <w:szCs w:val="24"/>
        </w:rPr>
        <w:t>Τα συμπτώματα της μερικής εντερικής απόφραξης είναι αποτέλεσμα της δεσμοβλαστικής αντίδρασης του μεσεντερίου, όταν ο όγκος διηθήσει το μεσεντέριο.</w:t>
      </w:r>
    </w:p>
    <w:p w:rsidR="00EA15C2" w:rsidRDefault="00EA15C2" w:rsidP="003E071D">
      <w:pPr>
        <w:pStyle w:val="ListParagraph"/>
        <w:numPr>
          <w:ilvl w:val="0"/>
          <w:numId w:val="8"/>
        </w:numPr>
        <w:spacing w:line="240" w:lineRule="auto"/>
        <w:jc w:val="both"/>
        <w:rPr>
          <w:rFonts w:ascii="Arial" w:hAnsi="Arial" w:cs="Arial"/>
          <w:sz w:val="24"/>
          <w:szCs w:val="24"/>
        </w:rPr>
      </w:pPr>
      <w:r>
        <w:rPr>
          <w:rFonts w:ascii="Arial" w:hAnsi="Arial" w:cs="Arial"/>
          <w:sz w:val="24"/>
          <w:szCs w:val="24"/>
        </w:rPr>
        <w:t>Αιμορραγία του κατώτερου πεπτικού είναι αποτέλεσμα της εξέλκωσης του υπερκείμενου του όγκου εντερικού βλεννογόνου.</w:t>
      </w:r>
    </w:p>
    <w:p w:rsidR="00B125DD" w:rsidRDefault="00EA15C2" w:rsidP="003E071D">
      <w:pPr>
        <w:pStyle w:val="ListParagraph"/>
        <w:numPr>
          <w:ilvl w:val="0"/>
          <w:numId w:val="8"/>
        </w:numPr>
        <w:spacing w:line="240" w:lineRule="auto"/>
        <w:jc w:val="both"/>
        <w:rPr>
          <w:rFonts w:ascii="Arial" w:hAnsi="Arial" w:cs="Arial"/>
          <w:sz w:val="24"/>
          <w:szCs w:val="24"/>
        </w:rPr>
      </w:pPr>
      <w:r>
        <w:rPr>
          <w:rFonts w:ascii="Arial" w:hAnsi="Arial" w:cs="Arial"/>
          <w:sz w:val="24"/>
          <w:szCs w:val="24"/>
        </w:rPr>
        <w:t>Εντερική ισχαιμία εμφανίζεται δευτερογενώς, λόγω αγγειοπάθειας των αγγείων του μεσεντερίου</w:t>
      </w:r>
      <w:r w:rsidR="00B125DD">
        <w:rPr>
          <w:rFonts w:ascii="Arial" w:hAnsi="Arial" w:cs="Arial"/>
          <w:sz w:val="24"/>
          <w:szCs w:val="24"/>
        </w:rPr>
        <w:t>, η οποία οφείλεται στη δεσμοβλαστική αντίδραση του μεσεντερίου.</w:t>
      </w:r>
    </w:p>
    <w:p w:rsidR="00465F6E" w:rsidRDefault="00B125DD" w:rsidP="003E071D">
      <w:pPr>
        <w:pStyle w:val="ListParagraph"/>
        <w:numPr>
          <w:ilvl w:val="0"/>
          <w:numId w:val="8"/>
        </w:numPr>
        <w:spacing w:line="240" w:lineRule="auto"/>
        <w:jc w:val="both"/>
        <w:rPr>
          <w:rFonts w:ascii="Arial" w:hAnsi="Arial" w:cs="Arial"/>
          <w:sz w:val="24"/>
          <w:szCs w:val="24"/>
        </w:rPr>
      </w:pPr>
      <w:r w:rsidRPr="00465F6E">
        <w:rPr>
          <w:rFonts w:ascii="Arial" w:hAnsi="Arial" w:cs="Arial"/>
          <w:sz w:val="24"/>
          <w:szCs w:val="24"/>
        </w:rPr>
        <w:t>Γενικά συμπτώματα ανορεξίας, απώλειας βάρους και κόπωσης αποδίδονται στην παρουσία μεταστατικής νόσου στους επι</w:t>
      </w:r>
      <w:r w:rsidR="00465F6E" w:rsidRPr="00465F6E">
        <w:rPr>
          <w:rFonts w:ascii="Arial" w:hAnsi="Arial" w:cs="Arial"/>
          <w:sz w:val="24"/>
          <w:szCs w:val="24"/>
        </w:rPr>
        <w:t>χώριους λεμφαδένες και στο ήπαρ.</w:t>
      </w:r>
      <w:r w:rsidRPr="00465F6E">
        <w:rPr>
          <w:rFonts w:ascii="Arial" w:hAnsi="Arial" w:cs="Arial"/>
          <w:sz w:val="24"/>
          <w:szCs w:val="24"/>
        </w:rPr>
        <w:t xml:space="preserve"> </w:t>
      </w:r>
    </w:p>
    <w:p w:rsidR="00E174F8" w:rsidRPr="00465F6E" w:rsidRDefault="00B125DD" w:rsidP="003E071D">
      <w:pPr>
        <w:pStyle w:val="ListParagraph"/>
        <w:numPr>
          <w:ilvl w:val="0"/>
          <w:numId w:val="8"/>
        </w:numPr>
        <w:spacing w:line="240" w:lineRule="auto"/>
        <w:jc w:val="both"/>
        <w:rPr>
          <w:rFonts w:ascii="Arial" w:hAnsi="Arial" w:cs="Arial"/>
          <w:sz w:val="24"/>
          <w:szCs w:val="24"/>
        </w:rPr>
      </w:pPr>
      <w:r w:rsidRPr="00465F6E">
        <w:rPr>
          <w:rFonts w:ascii="Arial" w:hAnsi="Arial" w:cs="Arial"/>
          <w:sz w:val="24"/>
          <w:szCs w:val="24"/>
        </w:rPr>
        <w:t>Το καρκινοειδές σύνδρομο, σε περιπτώσεις καρκινοειδών όγκων του λεπτού εντέρου, συνδυάζεται μ</w:t>
      </w:r>
      <w:r w:rsidR="00414C53" w:rsidRPr="00465F6E">
        <w:rPr>
          <w:rFonts w:ascii="Arial" w:hAnsi="Arial" w:cs="Arial"/>
          <w:sz w:val="24"/>
          <w:szCs w:val="24"/>
        </w:rPr>
        <w:t>όνο με</w:t>
      </w:r>
      <w:r w:rsidRPr="00465F6E">
        <w:rPr>
          <w:rFonts w:ascii="Arial" w:hAnsi="Arial" w:cs="Arial"/>
          <w:sz w:val="24"/>
          <w:szCs w:val="24"/>
        </w:rPr>
        <w:t xml:space="preserve"> μαζικ</w:t>
      </w:r>
      <w:r w:rsidR="00414C53" w:rsidRPr="00465F6E">
        <w:rPr>
          <w:rFonts w:ascii="Arial" w:hAnsi="Arial" w:cs="Arial"/>
          <w:sz w:val="24"/>
          <w:szCs w:val="24"/>
        </w:rPr>
        <w:t>ή</w:t>
      </w:r>
      <w:r w:rsidRPr="00465F6E">
        <w:rPr>
          <w:rFonts w:ascii="Arial" w:hAnsi="Arial" w:cs="Arial"/>
          <w:sz w:val="24"/>
          <w:szCs w:val="24"/>
        </w:rPr>
        <w:t xml:space="preserve"> κατ</w:t>
      </w:r>
      <w:r w:rsidR="00414C53" w:rsidRPr="00465F6E">
        <w:rPr>
          <w:rFonts w:ascii="Arial" w:hAnsi="Arial" w:cs="Arial"/>
          <w:sz w:val="24"/>
          <w:szCs w:val="24"/>
        </w:rPr>
        <w:t>άληψη</w:t>
      </w:r>
      <w:r w:rsidRPr="00465F6E">
        <w:rPr>
          <w:rFonts w:ascii="Arial" w:hAnsi="Arial" w:cs="Arial"/>
          <w:sz w:val="24"/>
          <w:szCs w:val="24"/>
        </w:rPr>
        <w:t xml:space="preserve"> του ήπατος από μεταστάσεις.</w:t>
      </w:r>
      <w:r w:rsidR="00EA15C2" w:rsidRPr="00465F6E">
        <w:rPr>
          <w:rFonts w:ascii="Arial" w:hAnsi="Arial" w:cs="Arial"/>
          <w:sz w:val="24"/>
          <w:szCs w:val="24"/>
        </w:rPr>
        <w:t xml:space="preserve"> </w:t>
      </w:r>
      <w:r w:rsidR="00ED55E1" w:rsidRPr="00465F6E">
        <w:rPr>
          <w:rFonts w:ascii="Arial" w:hAnsi="Arial" w:cs="Arial"/>
          <w:sz w:val="24"/>
          <w:szCs w:val="24"/>
        </w:rPr>
        <w:t xml:space="preserve"> Αυτό οφείλεται, όπως έχει ήδη αναφερθεί, στο ότι η σεροτονίνη και άλλες αγ</w:t>
      </w:r>
      <w:r w:rsidR="00465F6E">
        <w:rPr>
          <w:rFonts w:ascii="Arial" w:hAnsi="Arial" w:cs="Arial"/>
          <w:sz w:val="24"/>
          <w:szCs w:val="24"/>
        </w:rPr>
        <w:t>γ</w:t>
      </w:r>
      <w:r w:rsidR="00ED55E1" w:rsidRPr="00465F6E">
        <w:rPr>
          <w:rFonts w:ascii="Arial" w:hAnsi="Arial" w:cs="Arial"/>
          <w:sz w:val="24"/>
          <w:szCs w:val="24"/>
        </w:rPr>
        <w:t>ειοδραστικές</w:t>
      </w:r>
      <w:r w:rsidR="00465F6E">
        <w:rPr>
          <w:rFonts w:ascii="Arial" w:hAnsi="Arial" w:cs="Arial"/>
          <w:sz w:val="24"/>
          <w:szCs w:val="24"/>
        </w:rPr>
        <w:t xml:space="preserve"> ουσίες</w:t>
      </w:r>
      <w:r w:rsidR="00ED55E1" w:rsidRPr="00465F6E">
        <w:rPr>
          <w:rFonts w:ascii="Arial" w:hAnsi="Arial" w:cs="Arial"/>
          <w:sz w:val="24"/>
          <w:szCs w:val="24"/>
        </w:rPr>
        <w:t>, που εκκρίνονται από τους μεταστατικούς όγκους, απάγονται προς τη συστηματική κυκλοφορία αποφεύγοντας το μεταβολισμό τους από το ήπαρ.</w:t>
      </w:r>
    </w:p>
    <w:p w:rsidR="000034C0" w:rsidRDefault="000034C0" w:rsidP="003E071D">
      <w:pPr>
        <w:pStyle w:val="ListParagraph"/>
        <w:numPr>
          <w:ilvl w:val="1"/>
          <w:numId w:val="8"/>
        </w:numPr>
        <w:spacing w:line="240" w:lineRule="auto"/>
        <w:jc w:val="both"/>
        <w:rPr>
          <w:rFonts w:ascii="Arial" w:hAnsi="Arial" w:cs="Arial"/>
          <w:sz w:val="24"/>
          <w:szCs w:val="24"/>
        </w:rPr>
      </w:pPr>
      <w:r>
        <w:rPr>
          <w:rFonts w:ascii="Arial" w:hAnsi="Arial" w:cs="Arial"/>
          <w:sz w:val="24"/>
          <w:szCs w:val="24"/>
        </w:rPr>
        <w:t xml:space="preserve">Το σύνδρομο δύσκολα διαγιγνώσκεται στα αρχικά στάδια, καθώς οι ασθενείς αναφέρουν ασαφή κοιλιακά ενοχλήματα και </w:t>
      </w:r>
      <w:r>
        <w:rPr>
          <w:rFonts w:ascii="Arial" w:hAnsi="Arial" w:cs="Arial"/>
          <w:sz w:val="24"/>
          <w:szCs w:val="24"/>
        </w:rPr>
        <w:lastRenderedPageBreak/>
        <w:t>ερυθρότητα δέρματος κεφαλής και τραχήλου και, συνήθως, η ακριβής διάγνωση καθυστερεί περισσότερο από 8 χρόνια από την έναρξη των συμπτωμάτων.</w:t>
      </w:r>
    </w:p>
    <w:p w:rsidR="00FB489C" w:rsidRDefault="00FB489C" w:rsidP="003E071D">
      <w:pPr>
        <w:pStyle w:val="ListParagraph"/>
        <w:numPr>
          <w:ilvl w:val="1"/>
          <w:numId w:val="8"/>
        </w:numPr>
        <w:spacing w:line="240" w:lineRule="auto"/>
        <w:jc w:val="both"/>
        <w:rPr>
          <w:rFonts w:ascii="Arial" w:hAnsi="Arial" w:cs="Arial"/>
          <w:sz w:val="24"/>
          <w:szCs w:val="24"/>
        </w:rPr>
      </w:pPr>
      <w:r>
        <w:rPr>
          <w:rFonts w:ascii="Arial" w:hAnsi="Arial" w:cs="Arial"/>
          <w:sz w:val="24"/>
          <w:szCs w:val="24"/>
        </w:rPr>
        <w:t>Η αρχική διάγνωση είναι ευερέθιστο έντερο ή ιδιοπαθές flushing.</w:t>
      </w:r>
    </w:p>
    <w:p w:rsidR="00FB489C" w:rsidRDefault="00FB489C" w:rsidP="003E071D">
      <w:pPr>
        <w:pStyle w:val="ListParagraph"/>
        <w:numPr>
          <w:ilvl w:val="1"/>
          <w:numId w:val="8"/>
        </w:numPr>
        <w:spacing w:line="240" w:lineRule="auto"/>
        <w:jc w:val="both"/>
        <w:rPr>
          <w:rFonts w:ascii="Arial" w:hAnsi="Arial" w:cs="Arial"/>
          <w:sz w:val="24"/>
          <w:szCs w:val="24"/>
        </w:rPr>
      </w:pPr>
      <w:r>
        <w:rPr>
          <w:rFonts w:ascii="Arial" w:hAnsi="Arial" w:cs="Arial"/>
          <w:sz w:val="24"/>
          <w:szCs w:val="24"/>
        </w:rPr>
        <w:t>Τα σημαντικότερα συμπτώματα του συνδρόμου είναι: ηπατομεγαλία, διάρροια και ερυθρότητα δέρματος στο 80% των ασθενών, δεξιά καρδιακή βαλβιδική νόσος στο 50% των ασθενών και βρογχικό άσθμα σε ποσοστό 25% των ασθενών.</w:t>
      </w:r>
    </w:p>
    <w:p w:rsidR="00DB17ED" w:rsidRDefault="001E735F" w:rsidP="003E071D">
      <w:pPr>
        <w:pStyle w:val="ListParagraph"/>
        <w:numPr>
          <w:ilvl w:val="1"/>
          <w:numId w:val="8"/>
        </w:numPr>
        <w:spacing w:line="240" w:lineRule="auto"/>
        <w:jc w:val="both"/>
        <w:rPr>
          <w:rFonts w:ascii="Arial" w:hAnsi="Arial" w:cs="Arial"/>
          <w:sz w:val="24"/>
          <w:szCs w:val="24"/>
        </w:rPr>
      </w:pPr>
      <w:r>
        <w:rPr>
          <w:rFonts w:ascii="Arial" w:hAnsi="Arial" w:cs="Arial"/>
          <w:sz w:val="24"/>
          <w:szCs w:val="24"/>
        </w:rPr>
        <w:t xml:space="preserve">Η ερυθρότητα του δέρματος είναι, συχνά, το πρωϊμότερο σύμπτωμα του συνδρόμου, εμφανίζεται αυτόματα, κυρίως στην κεφαλή και στον τράχηλο και μπορεί να προκληθεί </w:t>
      </w:r>
      <w:r w:rsidR="00DB17ED">
        <w:rPr>
          <w:rFonts w:ascii="Arial" w:hAnsi="Arial" w:cs="Arial"/>
          <w:sz w:val="24"/>
          <w:szCs w:val="24"/>
        </w:rPr>
        <w:t>από σωματική άσκηση, ψυχική διέγερση, λήψη ορισμένων τροφών ή αλκοόλ.</w:t>
      </w:r>
    </w:p>
    <w:p w:rsidR="00DB17ED" w:rsidRDefault="00DB17ED" w:rsidP="003E071D">
      <w:pPr>
        <w:pStyle w:val="ListParagraph"/>
        <w:numPr>
          <w:ilvl w:val="1"/>
          <w:numId w:val="8"/>
        </w:numPr>
        <w:spacing w:line="240" w:lineRule="auto"/>
        <w:jc w:val="both"/>
        <w:rPr>
          <w:rFonts w:ascii="Arial" w:hAnsi="Arial" w:cs="Arial"/>
          <w:sz w:val="24"/>
          <w:szCs w:val="24"/>
        </w:rPr>
      </w:pPr>
      <w:r>
        <w:rPr>
          <w:rFonts w:ascii="Arial" w:hAnsi="Arial" w:cs="Arial"/>
          <w:sz w:val="24"/>
          <w:szCs w:val="24"/>
        </w:rPr>
        <w:t>Η διάρροια αποτελεί το συχνότερο σύμπτωμα, Συνήθως είναι επεισοδιακή και συχνά παρατηρείται μετά τα γεύματα. Αποδίδεται στο γεγονός ότι οι αυξημένες ποσότητες σεροτονίνης στην κυκλοφορία προκαλούν αυξημένη</w:t>
      </w:r>
      <w:r w:rsidR="009558B4">
        <w:rPr>
          <w:rFonts w:ascii="Arial" w:hAnsi="Arial" w:cs="Arial"/>
          <w:sz w:val="24"/>
          <w:szCs w:val="24"/>
        </w:rPr>
        <w:t xml:space="preserve"> έκκριση υγρών και ηλεκτρολυτών</w:t>
      </w:r>
      <w:r>
        <w:rPr>
          <w:rFonts w:ascii="Arial" w:hAnsi="Arial" w:cs="Arial"/>
          <w:sz w:val="24"/>
          <w:szCs w:val="24"/>
        </w:rPr>
        <w:t xml:space="preserve"> από το λεπτό έντερο, με αποτέλεσμα αυξημένη κινητικότητα του εντέρου.</w:t>
      </w:r>
    </w:p>
    <w:p w:rsidR="003F4B4B" w:rsidRDefault="003F4B4B" w:rsidP="003E071D">
      <w:pPr>
        <w:pStyle w:val="ListParagraph"/>
        <w:numPr>
          <w:ilvl w:val="1"/>
          <w:numId w:val="8"/>
        </w:numPr>
        <w:spacing w:line="240" w:lineRule="auto"/>
        <w:jc w:val="both"/>
        <w:rPr>
          <w:rFonts w:ascii="Arial" w:hAnsi="Arial" w:cs="Arial"/>
          <w:sz w:val="24"/>
          <w:szCs w:val="24"/>
        </w:rPr>
      </w:pPr>
      <w:r>
        <w:rPr>
          <w:rFonts w:ascii="Arial" w:hAnsi="Arial" w:cs="Arial"/>
          <w:sz w:val="24"/>
          <w:szCs w:val="24"/>
        </w:rPr>
        <w:t>Η δεξιά καρδιακή βαλβιδική νόσος, συνήθως, εμφανίζεται μετά αρκετά χρόνια από την έναρξη του συνδρόμου. Η κυκλοφορούσα σεροτονίνη προκαλεί μη αναστρέψιμη ενδοκαρδιακή ίνωση της τριγλώχινος και της πνευμονικής βαλβίδας με αποτέλεσμα τη δυσλειτουργία τους, στένωση ή ανεπάρκεια. Οι πνεύμονες μεταβολίζουν τη σεροτονίνη και, έτσι, προστατεύονται οι βαλβίδες των αριστερών καρδιακών κοιλοτήτων. Η κατάληξη της βαλβιδοπάθειας των δεξιών καρδιακών κοιλοτήτων είναι η δεξιά καρδιακή ανεπάρκεια.</w:t>
      </w:r>
    </w:p>
    <w:p w:rsidR="002D5C4C" w:rsidRDefault="003F4B4B" w:rsidP="003E071D">
      <w:pPr>
        <w:pStyle w:val="ListParagraph"/>
        <w:numPr>
          <w:ilvl w:val="1"/>
          <w:numId w:val="8"/>
        </w:numPr>
        <w:spacing w:line="240" w:lineRule="auto"/>
        <w:jc w:val="both"/>
        <w:rPr>
          <w:rFonts w:ascii="Arial" w:hAnsi="Arial" w:cs="Arial"/>
          <w:sz w:val="24"/>
          <w:szCs w:val="24"/>
        </w:rPr>
      </w:pPr>
      <w:r>
        <w:rPr>
          <w:rFonts w:ascii="Arial" w:hAnsi="Arial" w:cs="Arial"/>
          <w:sz w:val="24"/>
          <w:szCs w:val="24"/>
        </w:rPr>
        <w:t>Το βρογχικό άσθμα οφείλεται σε βρογχόσπασμο που προκαλεί</w:t>
      </w:r>
      <w:r w:rsidR="00CC0185">
        <w:rPr>
          <w:rFonts w:ascii="Arial" w:hAnsi="Arial" w:cs="Arial"/>
          <w:sz w:val="24"/>
          <w:szCs w:val="24"/>
        </w:rPr>
        <w:t xml:space="preserve"> η σεροτονίνη, η βραδυκινίνη και το στοιχείο Ρ, που εκκρίνονται από τον καρκινοειδή όγκο. Να σημειωθεί ότι η θεραπεία του άσθματος, στην περίπτωση αυτή, πρέπει να γίνεται με ιδιαίτερη προσοχή καθώς, τα αδρενεργικά φάρμακα είναι δυνατό να προκαλέσουν την απελευθέρωση ουσιών από τον όγκο με κατάληξη το status asthmaticus.</w:t>
      </w:r>
    </w:p>
    <w:p w:rsidR="00FC71FC" w:rsidRDefault="00FC71FC" w:rsidP="003E071D">
      <w:pPr>
        <w:pStyle w:val="ListParagraph"/>
        <w:numPr>
          <w:ilvl w:val="1"/>
          <w:numId w:val="8"/>
        </w:numPr>
        <w:spacing w:line="240" w:lineRule="auto"/>
        <w:jc w:val="both"/>
        <w:rPr>
          <w:rFonts w:ascii="Arial" w:hAnsi="Arial" w:cs="Arial"/>
          <w:sz w:val="24"/>
          <w:szCs w:val="24"/>
        </w:rPr>
      </w:pPr>
      <w:r>
        <w:rPr>
          <w:rFonts w:ascii="Arial" w:hAnsi="Arial" w:cs="Arial"/>
          <w:sz w:val="24"/>
          <w:szCs w:val="24"/>
        </w:rPr>
        <w:t>Η καρκινοειδής κοιλιακή κρίση είναι ένα σπάνιο οξύ κοιλιακό σύνδρομο, το οποίο χαρακτηρίζεται από έντονο σπαστικό κοιλιακό άλγος χωρίς εκδηλώσεις εντερικής απόφραξης. Αποδίδεται σε εντερική ισχαιμία, η οποία οφείλεται στην έκκριση, από τον όγκο, αγγειοδραστικών ουσιών, σε συνδυασμό με μειωμένη αιματική ροή στα μεσεντέρια αγγεία, αποτέλεσμα της περιαγγειακής μεσεντερίου ίνωσης.</w:t>
      </w:r>
    </w:p>
    <w:p w:rsidR="00FC71FC" w:rsidRDefault="00FC71FC" w:rsidP="00FC71FC">
      <w:pPr>
        <w:spacing w:line="240" w:lineRule="auto"/>
        <w:ind w:left="720"/>
        <w:jc w:val="both"/>
        <w:rPr>
          <w:rFonts w:ascii="Arial" w:hAnsi="Arial" w:cs="Arial"/>
          <w:sz w:val="24"/>
          <w:szCs w:val="24"/>
        </w:rPr>
      </w:pPr>
      <w:r>
        <w:rPr>
          <w:rFonts w:ascii="Arial" w:hAnsi="Arial" w:cs="Arial"/>
          <w:b/>
          <w:i/>
          <w:sz w:val="24"/>
          <w:szCs w:val="24"/>
        </w:rPr>
        <w:t>Κλινικά Σημεία</w:t>
      </w:r>
    </w:p>
    <w:p w:rsidR="00725477" w:rsidRDefault="00F151F5" w:rsidP="00FC71FC">
      <w:pPr>
        <w:spacing w:line="240" w:lineRule="auto"/>
        <w:ind w:left="720"/>
        <w:jc w:val="both"/>
        <w:rPr>
          <w:rFonts w:ascii="Arial" w:hAnsi="Arial" w:cs="Arial"/>
          <w:sz w:val="24"/>
          <w:szCs w:val="24"/>
        </w:rPr>
      </w:pPr>
      <w:r>
        <w:rPr>
          <w:rFonts w:ascii="Arial" w:hAnsi="Arial" w:cs="Arial"/>
          <w:sz w:val="24"/>
          <w:szCs w:val="24"/>
        </w:rPr>
        <w:t>Συχνά οι ασθενείς δεν εμφανίζου</w:t>
      </w:r>
      <w:r w:rsidR="00725477">
        <w:rPr>
          <w:rFonts w:ascii="Arial" w:hAnsi="Arial" w:cs="Arial"/>
          <w:sz w:val="24"/>
          <w:szCs w:val="24"/>
        </w:rPr>
        <w:t>ν παθολογικά κλινικά σημεία και</w:t>
      </w:r>
    </w:p>
    <w:p w:rsidR="00F151F5" w:rsidRDefault="00F151F5" w:rsidP="00725477">
      <w:pPr>
        <w:spacing w:line="240" w:lineRule="auto"/>
        <w:jc w:val="both"/>
        <w:rPr>
          <w:rFonts w:ascii="Arial" w:hAnsi="Arial" w:cs="Arial"/>
          <w:sz w:val="24"/>
          <w:szCs w:val="24"/>
        </w:rPr>
      </w:pPr>
      <w:r>
        <w:rPr>
          <w:rFonts w:ascii="Arial" w:hAnsi="Arial" w:cs="Arial"/>
          <w:sz w:val="24"/>
          <w:szCs w:val="24"/>
        </w:rPr>
        <w:t xml:space="preserve">φαίνονται υγιείς. Οι ασθενείς με κρίση καρκινοειδούς συνδρόμου εμφανίζουν ερυθρότητα δέρματος προσώπου, τραχήλου και ανώτερου θωρακικού τοιχώματος, η οποία διαρκεί ώρες έως ημέρες. Δυνατό να παρουσιάζουν </w:t>
      </w:r>
      <w:r>
        <w:rPr>
          <w:rFonts w:ascii="Arial" w:hAnsi="Arial" w:cs="Arial"/>
          <w:sz w:val="24"/>
          <w:szCs w:val="24"/>
        </w:rPr>
        <w:lastRenderedPageBreak/>
        <w:t>χαμηλή αρτηριακή πίεση, δακρύρροια, πυρετό και μέτρια έως έντονη ανησυχία</w:t>
      </w:r>
      <w:r w:rsidR="00936BB1">
        <w:rPr>
          <w:rFonts w:ascii="Arial" w:hAnsi="Arial" w:cs="Arial"/>
          <w:sz w:val="24"/>
          <w:szCs w:val="24"/>
        </w:rPr>
        <w:t>.</w:t>
      </w:r>
    </w:p>
    <w:p w:rsidR="00EA15C2" w:rsidRDefault="00F151F5" w:rsidP="003E071D">
      <w:pPr>
        <w:pStyle w:val="ListParagraph"/>
        <w:numPr>
          <w:ilvl w:val="0"/>
          <w:numId w:val="9"/>
        </w:numPr>
        <w:spacing w:line="240" w:lineRule="auto"/>
        <w:jc w:val="both"/>
        <w:rPr>
          <w:rFonts w:ascii="Arial" w:hAnsi="Arial" w:cs="Arial"/>
          <w:sz w:val="24"/>
          <w:szCs w:val="24"/>
        </w:rPr>
      </w:pPr>
      <w:r>
        <w:rPr>
          <w:rFonts w:ascii="Arial" w:hAnsi="Arial" w:cs="Arial"/>
          <w:sz w:val="24"/>
          <w:szCs w:val="24"/>
        </w:rPr>
        <w:t xml:space="preserve">Απο το δέρμα: τηλεαγγειεκτασίες παρειάς άμφω και εξάνθημα στα άκρα, συνήθως </w:t>
      </w:r>
      <w:r w:rsidR="00936BB1">
        <w:rPr>
          <w:rFonts w:ascii="Arial" w:hAnsi="Arial" w:cs="Arial"/>
          <w:sz w:val="24"/>
          <w:szCs w:val="24"/>
        </w:rPr>
        <w:t>σε τελικού σταδίου μη ελεγχόμενη νόσο.</w:t>
      </w:r>
    </w:p>
    <w:p w:rsidR="00936BB1" w:rsidRDefault="00936BB1" w:rsidP="003E071D">
      <w:pPr>
        <w:pStyle w:val="ListParagraph"/>
        <w:numPr>
          <w:ilvl w:val="0"/>
          <w:numId w:val="9"/>
        </w:numPr>
        <w:spacing w:line="240" w:lineRule="auto"/>
        <w:jc w:val="both"/>
        <w:rPr>
          <w:rFonts w:ascii="Arial" w:hAnsi="Arial" w:cs="Arial"/>
          <w:sz w:val="24"/>
          <w:szCs w:val="24"/>
        </w:rPr>
      </w:pPr>
      <w:r>
        <w:rPr>
          <w:rFonts w:ascii="Arial" w:hAnsi="Arial" w:cs="Arial"/>
          <w:sz w:val="24"/>
          <w:szCs w:val="24"/>
        </w:rPr>
        <w:t>Από τους πνεύμονες: ακρόαση συριγμών.</w:t>
      </w:r>
    </w:p>
    <w:p w:rsidR="00936BB1" w:rsidRDefault="00936BB1" w:rsidP="003E071D">
      <w:pPr>
        <w:pStyle w:val="ListParagraph"/>
        <w:numPr>
          <w:ilvl w:val="0"/>
          <w:numId w:val="9"/>
        </w:numPr>
        <w:spacing w:line="240" w:lineRule="auto"/>
        <w:jc w:val="both"/>
        <w:rPr>
          <w:rFonts w:ascii="Arial" w:hAnsi="Arial" w:cs="Arial"/>
          <w:sz w:val="24"/>
          <w:szCs w:val="24"/>
        </w:rPr>
      </w:pPr>
      <w:r>
        <w:rPr>
          <w:rFonts w:ascii="Arial" w:hAnsi="Arial" w:cs="Arial"/>
          <w:sz w:val="24"/>
          <w:szCs w:val="24"/>
        </w:rPr>
        <w:t>Από την ακρόαση της καρδιάς: συνήθως φυσιολογικούς ήχους. Σε παρατεταμένη, όμως, και ανεξέλεγκτη έκκριση σεροτονίνης παρατηρούνται ήχοι ανεπάρκειας της τριγλώχινος και σπανιότερα ήχοι στένωσης της πνευμονικής βαλβίδας.</w:t>
      </w:r>
    </w:p>
    <w:p w:rsidR="00936BB1" w:rsidRDefault="00936BB1" w:rsidP="003E071D">
      <w:pPr>
        <w:pStyle w:val="ListParagraph"/>
        <w:numPr>
          <w:ilvl w:val="0"/>
          <w:numId w:val="9"/>
        </w:numPr>
        <w:spacing w:line="240" w:lineRule="auto"/>
        <w:jc w:val="both"/>
        <w:rPr>
          <w:rFonts w:ascii="Arial" w:hAnsi="Arial" w:cs="Arial"/>
          <w:sz w:val="24"/>
          <w:szCs w:val="24"/>
        </w:rPr>
      </w:pPr>
      <w:r>
        <w:rPr>
          <w:rFonts w:ascii="Arial" w:hAnsi="Arial" w:cs="Arial"/>
          <w:sz w:val="24"/>
          <w:szCs w:val="24"/>
        </w:rPr>
        <w:t>Από την εξέταση της κοιλ</w:t>
      </w:r>
      <w:r w:rsidR="00942564">
        <w:rPr>
          <w:rFonts w:ascii="Arial" w:hAnsi="Arial" w:cs="Arial"/>
          <w:sz w:val="24"/>
          <w:szCs w:val="24"/>
        </w:rPr>
        <w:t>ίας: πιθανά</w:t>
      </w:r>
      <w:r>
        <w:rPr>
          <w:rFonts w:ascii="Arial" w:hAnsi="Arial" w:cs="Arial"/>
          <w:sz w:val="24"/>
          <w:szCs w:val="24"/>
        </w:rPr>
        <w:t xml:space="preserve"> διάταση</w:t>
      </w:r>
      <w:r w:rsidR="00942564">
        <w:rPr>
          <w:rFonts w:ascii="Arial" w:hAnsi="Arial" w:cs="Arial"/>
          <w:sz w:val="24"/>
          <w:szCs w:val="24"/>
        </w:rPr>
        <w:t xml:space="preserve"> χωρίς ευαισθησία, εντερικοί ήχοι φυσιολογικοί ή ήχοι στάσεως, πιθανά ηπατομεγαλία.</w:t>
      </w:r>
    </w:p>
    <w:p w:rsidR="00942564" w:rsidRPr="00190E0A" w:rsidRDefault="00942564" w:rsidP="003E071D">
      <w:pPr>
        <w:pStyle w:val="ListParagraph"/>
        <w:numPr>
          <w:ilvl w:val="0"/>
          <w:numId w:val="9"/>
        </w:numPr>
        <w:spacing w:line="240" w:lineRule="auto"/>
        <w:jc w:val="both"/>
        <w:rPr>
          <w:rFonts w:ascii="Arial" w:hAnsi="Arial" w:cs="Arial"/>
          <w:sz w:val="24"/>
          <w:szCs w:val="24"/>
        </w:rPr>
      </w:pPr>
      <w:r>
        <w:rPr>
          <w:rFonts w:ascii="Arial" w:hAnsi="Arial" w:cs="Arial"/>
          <w:sz w:val="24"/>
          <w:szCs w:val="24"/>
        </w:rPr>
        <w:t>Από τα άκρα: αμφοτερόπλευρο κατώτερο οίδημα.</w:t>
      </w:r>
    </w:p>
    <w:p w:rsidR="00190E0A" w:rsidRDefault="00190E0A" w:rsidP="00190E0A">
      <w:pPr>
        <w:spacing w:line="240" w:lineRule="auto"/>
        <w:ind w:left="720"/>
        <w:jc w:val="both"/>
        <w:rPr>
          <w:rFonts w:ascii="Arial" w:hAnsi="Arial" w:cs="Arial"/>
          <w:b/>
          <w:i/>
          <w:sz w:val="24"/>
          <w:szCs w:val="24"/>
        </w:rPr>
      </w:pPr>
      <w:r>
        <w:rPr>
          <w:rFonts w:ascii="Arial" w:hAnsi="Arial" w:cs="Arial"/>
          <w:b/>
          <w:i/>
          <w:sz w:val="24"/>
          <w:szCs w:val="24"/>
        </w:rPr>
        <w:t>Παρακλινικός Έλεγχος</w:t>
      </w:r>
    </w:p>
    <w:p w:rsidR="00190E0A" w:rsidRDefault="00190E0A" w:rsidP="00190E0A">
      <w:pPr>
        <w:spacing w:line="240" w:lineRule="auto"/>
        <w:ind w:left="720"/>
        <w:jc w:val="both"/>
        <w:rPr>
          <w:rFonts w:ascii="Arial" w:hAnsi="Arial" w:cs="Arial"/>
          <w:sz w:val="24"/>
          <w:szCs w:val="24"/>
        </w:rPr>
      </w:pPr>
      <w:r>
        <w:rPr>
          <w:rFonts w:ascii="Arial" w:hAnsi="Arial" w:cs="Arial"/>
          <w:sz w:val="24"/>
          <w:szCs w:val="24"/>
        </w:rPr>
        <w:t>Δυστυχώς</w:t>
      </w:r>
      <w:r w:rsidR="001B4F04">
        <w:rPr>
          <w:rFonts w:ascii="Arial" w:hAnsi="Arial" w:cs="Arial"/>
          <w:sz w:val="24"/>
          <w:szCs w:val="24"/>
        </w:rPr>
        <w:t>,</w:t>
      </w:r>
      <w:r>
        <w:rPr>
          <w:rFonts w:ascii="Arial" w:hAnsi="Arial" w:cs="Arial"/>
          <w:sz w:val="24"/>
          <w:szCs w:val="24"/>
        </w:rPr>
        <w:t xml:space="preserve"> οι περισσότεροι ασθενείς με καρκινοειδείς όγκους του</w:t>
      </w:r>
    </w:p>
    <w:p w:rsidR="00190E0A" w:rsidRDefault="00190E0A" w:rsidP="00190E0A">
      <w:pPr>
        <w:spacing w:line="240" w:lineRule="auto"/>
        <w:jc w:val="both"/>
        <w:rPr>
          <w:rFonts w:ascii="Arial" w:hAnsi="Arial" w:cs="Arial"/>
          <w:sz w:val="24"/>
          <w:szCs w:val="24"/>
        </w:rPr>
      </w:pPr>
      <w:r>
        <w:rPr>
          <w:rFonts w:ascii="Arial" w:hAnsi="Arial" w:cs="Arial"/>
          <w:sz w:val="24"/>
          <w:szCs w:val="24"/>
        </w:rPr>
        <w:t>λεπτού εντέρου εμφανίζονται με μεταστατική νόσο και μόνο 20% των πασχόντων διαγιγνώσκονται σε εξαιρέσιμη φάση της νόσου.</w:t>
      </w:r>
      <w:r>
        <w:rPr>
          <w:rFonts w:ascii="Arial" w:hAnsi="Arial" w:cs="Arial"/>
          <w:sz w:val="24"/>
          <w:szCs w:val="24"/>
          <w:vertAlign w:val="superscript"/>
        </w:rPr>
        <w:t>30</w:t>
      </w:r>
      <w:r>
        <w:rPr>
          <w:rFonts w:ascii="Arial" w:hAnsi="Arial" w:cs="Arial"/>
          <w:sz w:val="24"/>
          <w:szCs w:val="24"/>
        </w:rPr>
        <w:t xml:space="preserve">   </w:t>
      </w:r>
    </w:p>
    <w:p w:rsidR="004C2364" w:rsidRDefault="004C2364" w:rsidP="00190E0A">
      <w:pPr>
        <w:spacing w:line="240" w:lineRule="auto"/>
        <w:jc w:val="both"/>
        <w:rPr>
          <w:rFonts w:ascii="Arial" w:hAnsi="Arial" w:cs="Arial"/>
          <w:sz w:val="24"/>
          <w:szCs w:val="24"/>
        </w:rPr>
      </w:pPr>
      <w:r>
        <w:rPr>
          <w:rFonts w:ascii="Arial" w:hAnsi="Arial" w:cs="Arial"/>
          <w:sz w:val="24"/>
          <w:szCs w:val="24"/>
        </w:rPr>
        <w:tab/>
      </w:r>
      <w:r>
        <w:rPr>
          <w:rFonts w:ascii="Arial" w:hAnsi="Arial" w:cs="Arial"/>
          <w:sz w:val="24"/>
          <w:szCs w:val="24"/>
          <w:u w:val="single"/>
        </w:rPr>
        <w:t>Εργαστηριακές εξετάσεις</w:t>
      </w:r>
      <w:r>
        <w:rPr>
          <w:rFonts w:ascii="Arial" w:hAnsi="Arial" w:cs="Arial"/>
          <w:sz w:val="24"/>
          <w:szCs w:val="24"/>
        </w:rPr>
        <w:t>. Η μόνη εργαστηριακή εξέταση που θέτει τη διάγνωση του καρκινοειδούς συνδρόμου είναι ο προσδιορισμός υψηλ</w:t>
      </w:r>
      <w:r w:rsidR="00725477">
        <w:rPr>
          <w:rFonts w:ascii="Arial" w:hAnsi="Arial" w:cs="Arial"/>
          <w:sz w:val="24"/>
          <w:szCs w:val="24"/>
        </w:rPr>
        <w:t>ών επιπέδων, συνήθως πενταπλάσιων</w:t>
      </w:r>
      <w:r>
        <w:rPr>
          <w:rFonts w:ascii="Arial" w:hAnsi="Arial" w:cs="Arial"/>
          <w:sz w:val="24"/>
          <w:szCs w:val="24"/>
        </w:rPr>
        <w:t xml:space="preserve"> του φυσιολογικού, 5-υδροξυινδολοξεικού οξέος σε συλλογή ούρων 24ώρου</w:t>
      </w:r>
      <w:r w:rsidR="00725477">
        <w:rPr>
          <w:rFonts w:ascii="Arial" w:hAnsi="Arial" w:cs="Arial"/>
          <w:sz w:val="24"/>
          <w:szCs w:val="24"/>
        </w:rPr>
        <w:t>. Να σημειωθεί ότι 24 ώρες πριν τη συλλογή των ούρων πρέπει να αποκλεισθούν από το διαιτολόγιο</w:t>
      </w:r>
      <w:r w:rsidR="001B4F04">
        <w:rPr>
          <w:rFonts w:ascii="Arial" w:hAnsi="Arial" w:cs="Arial"/>
          <w:sz w:val="24"/>
          <w:szCs w:val="24"/>
        </w:rPr>
        <w:t>:</w:t>
      </w:r>
      <w:r w:rsidR="00725477">
        <w:rPr>
          <w:rFonts w:ascii="Arial" w:hAnsi="Arial" w:cs="Arial"/>
          <w:sz w:val="24"/>
          <w:szCs w:val="24"/>
        </w:rPr>
        <w:t xml:space="preserve"> μπανάνες, ανανάδες, ντομάτες,αβοκάντος, δαμάσκηνα, καρύδια και μελιτζάνες.</w:t>
      </w:r>
    </w:p>
    <w:p w:rsidR="00725477" w:rsidRDefault="00725477" w:rsidP="00190E0A">
      <w:pPr>
        <w:spacing w:line="240" w:lineRule="auto"/>
        <w:jc w:val="both"/>
        <w:rPr>
          <w:rFonts w:ascii="Arial" w:hAnsi="Arial" w:cs="Arial"/>
          <w:sz w:val="24"/>
          <w:szCs w:val="24"/>
        </w:rPr>
      </w:pPr>
      <w:r>
        <w:rPr>
          <w:rFonts w:ascii="Arial" w:hAnsi="Arial" w:cs="Arial"/>
          <w:sz w:val="24"/>
          <w:szCs w:val="24"/>
        </w:rPr>
        <w:tab/>
      </w:r>
      <w:r>
        <w:rPr>
          <w:rFonts w:ascii="Arial" w:hAnsi="Arial" w:cs="Arial"/>
          <w:sz w:val="24"/>
          <w:szCs w:val="24"/>
          <w:u w:val="single"/>
        </w:rPr>
        <w:t>Απεικονιστικές εξετάσεις</w:t>
      </w:r>
      <w:r>
        <w:rPr>
          <w:rFonts w:ascii="Arial" w:hAnsi="Arial" w:cs="Arial"/>
          <w:sz w:val="24"/>
          <w:szCs w:val="24"/>
        </w:rPr>
        <w:t xml:space="preserve">. </w:t>
      </w:r>
    </w:p>
    <w:p w:rsidR="00725477" w:rsidRDefault="00B36AD5" w:rsidP="003E071D">
      <w:pPr>
        <w:pStyle w:val="ListParagraph"/>
        <w:numPr>
          <w:ilvl w:val="0"/>
          <w:numId w:val="10"/>
        </w:numPr>
        <w:spacing w:line="240" w:lineRule="auto"/>
        <w:jc w:val="both"/>
        <w:rPr>
          <w:rFonts w:ascii="Arial" w:hAnsi="Arial" w:cs="Arial"/>
          <w:sz w:val="24"/>
          <w:szCs w:val="24"/>
        </w:rPr>
      </w:pPr>
      <w:r>
        <w:rPr>
          <w:rFonts w:ascii="Arial" w:hAnsi="Arial" w:cs="Arial"/>
          <w:sz w:val="24"/>
          <w:szCs w:val="24"/>
        </w:rPr>
        <w:t>Το υπερηχογράφημα έχει περιορισμένη αξία και, κυρίως, σε όγκους μικρότερους του 1 εκ.</w:t>
      </w:r>
    </w:p>
    <w:p w:rsidR="00B36AD5" w:rsidRDefault="00B36AD5" w:rsidP="003E071D">
      <w:pPr>
        <w:pStyle w:val="ListParagraph"/>
        <w:numPr>
          <w:ilvl w:val="0"/>
          <w:numId w:val="10"/>
        </w:numPr>
        <w:spacing w:line="240" w:lineRule="auto"/>
        <w:jc w:val="both"/>
        <w:rPr>
          <w:rFonts w:ascii="Arial" w:hAnsi="Arial" w:cs="Arial"/>
          <w:sz w:val="24"/>
          <w:szCs w:val="24"/>
        </w:rPr>
      </w:pPr>
      <w:r>
        <w:rPr>
          <w:rFonts w:ascii="Arial" w:hAnsi="Arial" w:cs="Arial"/>
          <w:sz w:val="24"/>
          <w:szCs w:val="24"/>
        </w:rPr>
        <w:t>Η αξονική τομογραφία, χωρίς τη χορήγηση</w:t>
      </w:r>
      <w:r w:rsidR="00B14AB1">
        <w:rPr>
          <w:rFonts w:ascii="Arial" w:hAnsi="Arial" w:cs="Arial"/>
          <w:sz w:val="24"/>
          <w:szCs w:val="24"/>
        </w:rPr>
        <w:t xml:space="preserve"> ενδοφλέβιου</w:t>
      </w:r>
      <w:r>
        <w:rPr>
          <w:rFonts w:ascii="Arial" w:hAnsi="Arial" w:cs="Arial"/>
          <w:sz w:val="24"/>
          <w:szCs w:val="24"/>
        </w:rPr>
        <w:t xml:space="preserve"> σκιαγραφικού, αποτελεί τη διαγνωστική μέθοδο εκλογής των μεταστατικών καρκινοειδών όγκων. Αυτό οφείλεται στο γεγονός ότι οι όγκοι αυτοί είναι πολύ αγγει</w:t>
      </w:r>
      <w:r w:rsidR="002221B1">
        <w:rPr>
          <w:rFonts w:ascii="Arial" w:hAnsi="Arial" w:cs="Arial"/>
          <w:sz w:val="24"/>
          <w:szCs w:val="24"/>
        </w:rPr>
        <w:t>ο</w:t>
      </w:r>
      <w:r>
        <w:rPr>
          <w:rFonts w:ascii="Arial" w:hAnsi="Arial" w:cs="Arial"/>
          <w:sz w:val="24"/>
          <w:szCs w:val="24"/>
        </w:rPr>
        <w:t xml:space="preserve">βριθείς και, έτσι, εμφανίζονται με την ίδια πυκνότητα </w:t>
      </w:r>
      <w:r w:rsidR="002221B1">
        <w:rPr>
          <w:rFonts w:ascii="Arial" w:hAnsi="Arial" w:cs="Arial"/>
          <w:sz w:val="24"/>
          <w:szCs w:val="24"/>
        </w:rPr>
        <w:t>με τον παρακείμενο ιστό, εάν χορηγηθεί σκιαγραφικό.</w:t>
      </w:r>
      <w:r w:rsidR="00486509">
        <w:rPr>
          <w:rFonts w:ascii="Arial" w:hAnsi="Arial" w:cs="Arial"/>
          <w:sz w:val="24"/>
          <w:szCs w:val="24"/>
          <w:vertAlign w:val="superscript"/>
        </w:rPr>
        <w:t>30</w:t>
      </w:r>
      <w:r w:rsidR="002221B1">
        <w:rPr>
          <w:rFonts w:ascii="Arial" w:hAnsi="Arial" w:cs="Arial"/>
          <w:sz w:val="24"/>
          <w:szCs w:val="24"/>
        </w:rPr>
        <w:t xml:space="preserve"> Η αξονική τομογραφία μπορεί να αναδείξει και τη διήθηση του μεσεντερίου στο 50% των ασθενών με μεταστατική νόσο.</w:t>
      </w:r>
    </w:p>
    <w:p w:rsidR="00457106" w:rsidRDefault="002221B1" w:rsidP="003E071D">
      <w:pPr>
        <w:pStyle w:val="ListParagraph"/>
        <w:numPr>
          <w:ilvl w:val="0"/>
          <w:numId w:val="10"/>
        </w:numPr>
        <w:spacing w:line="240" w:lineRule="auto"/>
        <w:jc w:val="both"/>
        <w:rPr>
          <w:rFonts w:ascii="Arial" w:hAnsi="Arial" w:cs="Arial"/>
          <w:sz w:val="24"/>
          <w:szCs w:val="24"/>
        </w:rPr>
      </w:pPr>
      <w:r>
        <w:rPr>
          <w:rFonts w:ascii="Arial" w:hAnsi="Arial" w:cs="Arial"/>
          <w:sz w:val="24"/>
          <w:szCs w:val="24"/>
        </w:rPr>
        <w:t>Η μαγνητική τομογραφία αρχικά είχε περιορισμένη χρήση, λόγω της ανεπαρκούς διάθεσης του εξοπλισμού και τη</w:t>
      </w:r>
      <w:r w:rsidR="00486509">
        <w:rPr>
          <w:rFonts w:ascii="Arial" w:hAnsi="Arial" w:cs="Arial"/>
          <w:sz w:val="24"/>
          <w:szCs w:val="24"/>
        </w:rPr>
        <w:t>ς</w:t>
      </w:r>
      <w:r>
        <w:rPr>
          <w:rFonts w:ascii="Arial" w:hAnsi="Arial" w:cs="Arial"/>
          <w:sz w:val="24"/>
          <w:szCs w:val="24"/>
        </w:rPr>
        <w:t xml:space="preserve"> δυσκολία</w:t>
      </w:r>
      <w:r w:rsidR="00486509">
        <w:rPr>
          <w:rFonts w:ascii="Arial" w:hAnsi="Arial" w:cs="Arial"/>
          <w:sz w:val="24"/>
          <w:szCs w:val="24"/>
        </w:rPr>
        <w:t>ς</w:t>
      </w:r>
      <w:r>
        <w:rPr>
          <w:rFonts w:ascii="Arial" w:hAnsi="Arial" w:cs="Arial"/>
          <w:sz w:val="24"/>
          <w:szCs w:val="24"/>
        </w:rPr>
        <w:t xml:space="preserve"> διάκρισης μεταξύ μικρών αγγειοβριθών </w:t>
      </w:r>
      <w:r w:rsidR="00486509">
        <w:rPr>
          <w:rFonts w:ascii="Arial" w:hAnsi="Arial" w:cs="Arial"/>
          <w:sz w:val="24"/>
          <w:szCs w:val="24"/>
        </w:rPr>
        <w:t>ενδοηπατικών όγκων και καλοήθων αιμαγγειομάτων. Με την τεχνική εξέλιξη της μεθόδου, η μαγνητική τομογραφία χρησιμοποιείται όλο και περισσότερο ως συμπληρωματική διαγνωστική εξέταση των ενδοκοιλιακών καρκινοειδών όγκων.</w:t>
      </w:r>
    </w:p>
    <w:p w:rsidR="00641060" w:rsidRDefault="00457106" w:rsidP="003E071D">
      <w:pPr>
        <w:pStyle w:val="ListParagraph"/>
        <w:numPr>
          <w:ilvl w:val="0"/>
          <w:numId w:val="10"/>
        </w:numPr>
        <w:spacing w:line="240" w:lineRule="auto"/>
        <w:jc w:val="both"/>
        <w:rPr>
          <w:rFonts w:ascii="Arial" w:hAnsi="Arial" w:cs="Arial"/>
          <w:sz w:val="24"/>
          <w:szCs w:val="24"/>
        </w:rPr>
      </w:pPr>
      <w:r>
        <w:rPr>
          <w:rFonts w:ascii="Arial" w:hAnsi="Arial" w:cs="Arial"/>
          <w:sz w:val="24"/>
          <w:szCs w:val="24"/>
        </w:rPr>
        <w:t xml:space="preserve">Το σπινθηρογράφημα </w:t>
      </w:r>
      <w:r w:rsidR="009F528A">
        <w:rPr>
          <w:rFonts w:ascii="Arial" w:hAnsi="Arial" w:cs="Arial"/>
          <w:sz w:val="24"/>
          <w:szCs w:val="24"/>
        </w:rPr>
        <w:t xml:space="preserve">είναι ιδιαίτερα χρήσιμο σε περιπτώσεις που οι άλλες εξετάσεις ρουτίνας έχουν αποτύχει να αναδείξουν την εντόπιση του καρκινοειδούς όγκου. Η μέθοδος στηρίζεται </w:t>
      </w:r>
      <w:r w:rsidR="009F528A">
        <w:rPr>
          <w:rFonts w:ascii="Arial" w:hAnsi="Arial" w:cs="Arial"/>
          <w:sz w:val="24"/>
          <w:szCs w:val="24"/>
        </w:rPr>
        <w:lastRenderedPageBreak/>
        <w:t>στην ενδοφλέβια χορήγηση ραδιοσεσημασμένων νουκλεοτιδίων, τα οποία προσλαμβάνονται από τα κύτταρα του νευροενδοκρινούς όγκου με αποτέλεσμα τον εντοπισμό</w:t>
      </w:r>
      <w:r w:rsidR="00B936E3">
        <w:rPr>
          <w:rFonts w:ascii="Arial" w:hAnsi="Arial" w:cs="Arial"/>
          <w:sz w:val="24"/>
          <w:szCs w:val="24"/>
        </w:rPr>
        <w:t xml:space="preserve"> του. </w:t>
      </w:r>
      <w:r w:rsidR="0020084A">
        <w:rPr>
          <w:rFonts w:ascii="Arial" w:hAnsi="Arial" w:cs="Arial"/>
          <w:sz w:val="24"/>
          <w:szCs w:val="24"/>
        </w:rPr>
        <w:t xml:space="preserve">Το πλεόν συχνά χρησιμοποιούμενο σπινθηρογράφημα είναι το </w:t>
      </w:r>
      <w:r w:rsidR="0020084A">
        <w:rPr>
          <w:rFonts w:ascii="Arial" w:hAnsi="Arial" w:cs="Arial"/>
          <w:sz w:val="24"/>
          <w:szCs w:val="24"/>
          <w:lang w:val="en-US"/>
        </w:rPr>
        <w:t>OctreoScan</w:t>
      </w:r>
      <w:r w:rsidR="0020084A" w:rsidRPr="0020084A">
        <w:rPr>
          <w:rFonts w:ascii="Arial" w:hAnsi="Arial" w:cs="Arial"/>
          <w:sz w:val="24"/>
          <w:szCs w:val="24"/>
        </w:rPr>
        <w:t>, κατ</w:t>
      </w:r>
      <w:r w:rsidR="0020084A">
        <w:rPr>
          <w:rFonts w:ascii="Arial" w:hAnsi="Arial" w:cs="Arial"/>
          <w:sz w:val="24"/>
          <w:szCs w:val="24"/>
        </w:rPr>
        <w:t xml:space="preserve">ά το οποίο η οκτρεοτίδη, ανάλογο της σωματοστατίνης, σημαίνεται με ένα ραδιενεργό ισότοπο, συνήθως </w:t>
      </w:r>
      <w:r w:rsidR="0020084A">
        <w:rPr>
          <w:rFonts w:ascii="Arial" w:hAnsi="Arial" w:cs="Arial"/>
          <w:sz w:val="24"/>
          <w:szCs w:val="24"/>
          <w:vertAlign w:val="superscript"/>
        </w:rPr>
        <w:t>111</w:t>
      </w:r>
      <w:r w:rsidR="0020084A">
        <w:rPr>
          <w:rFonts w:ascii="Arial" w:hAnsi="Arial" w:cs="Arial"/>
          <w:sz w:val="24"/>
          <w:szCs w:val="24"/>
          <w:lang w:val="en-US"/>
        </w:rPr>
        <w:t>In</w:t>
      </w:r>
      <w:r w:rsidR="0020084A">
        <w:rPr>
          <w:rFonts w:ascii="Arial" w:hAnsi="Arial" w:cs="Arial"/>
          <w:sz w:val="24"/>
          <w:szCs w:val="24"/>
        </w:rPr>
        <w:t xml:space="preserve"> και ενίεται ενδοφλεβίως. </w:t>
      </w:r>
      <w:r w:rsidR="00641060">
        <w:rPr>
          <w:rFonts w:ascii="Arial" w:hAnsi="Arial" w:cs="Arial"/>
          <w:sz w:val="24"/>
          <w:szCs w:val="24"/>
        </w:rPr>
        <w:t>Η επιφάνεια των κυττάρων των καρκινοειδών όγκων έχουν, συχνά, υποδοχείς της σωματοστατίνης και, έτσι, το σεσημασμένο ανάλογο συνδέεται με τα νεοπλασματικά κύτταρα επιτρέποντας την απεικόνιση του όγκου.</w:t>
      </w:r>
    </w:p>
    <w:p w:rsidR="00350D66" w:rsidRPr="00350D66" w:rsidRDefault="00641060" w:rsidP="003E071D">
      <w:pPr>
        <w:pStyle w:val="ListParagraph"/>
        <w:numPr>
          <w:ilvl w:val="0"/>
          <w:numId w:val="10"/>
        </w:numPr>
        <w:spacing w:line="240" w:lineRule="auto"/>
        <w:jc w:val="both"/>
        <w:rPr>
          <w:rFonts w:ascii="Arial" w:hAnsi="Arial" w:cs="Arial"/>
          <w:sz w:val="24"/>
          <w:szCs w:val="24"/>
        </w:rPr>
      </w:pPr>
      <w:r>
        <w:rPr>
          <w:rFonts w:ascii="Arial" w:hAnsi="Arial" w:cs="Arial"/>
          <w:sz w:val="24"/>
          <w:szCs w:val="24"/>
        </w:rPr>
        <w:t>Το PET scan</w:t>
      </w:r>
      <w:r w:rsidR="009B2588" w:rsidRPr="009B2588">
        <w:rPr>
          <w:rFonts w:ascii="Arial" w:hAnsi="Arial" w:cs="Arial"/>
          <w:sz w:val="24"/>
          <w:szCs w:val="24"/>
        </w:rPr>
        <w:t xml:space="preserve"> χρησιμοποιε</w:t>
      </w:r>
      <w:r w:rsidR="009B2588">
        <w:rPr>
          <w:rFonts w:ascii="Arial" w:hAnsi="Arial" w:cs="Arial"/>
          <w:sz w:val="24"/>
          <w:szCs w:val="24"/>
        </w:rPr>
        <w:t>ίται σε περιπτώσεις αβέβαιων αποτελεσμάτων του σπινθηρογραφήματος. Στηρίζεται στη δυνατότητα των όγκων να προσλαμβάνουν ραδιοσεσημασμένα στοιχεία, που χρησιμοποιούνται στο μεταβολισμ</w:t>
      </w:r>
      <w:r w:rsidR="003F3B59">
        <w:rPr>
          <w:rFonts w:ascii="Arial" w:hAnsi="Arial" w:cs="Arial"/>
          <w:sz w:val="24"/>
          <w:szCs w:val="24"/>
        </w:rPr>
        <w:t>ό τους και ο όγκος ανιχνεύεται μέσω της μεταβολικής του δραστηριότητας. Σε λιγότερο διαφοροποιημένους όγκους, οι οποίοι έχουν εντονότερο μεταβολισμό, χρησιμοποιείται FDG (</w:t>
      </w:r>
      <w:r w:rsidR="003F3B59" w:rsidRPr="003F3B59">
        <w:rPr>
          <w:rFonts w:ascii="Arial" w:hAnsi="Arial" w:cs="Arial"/>
          <w:sz w:val="24"/>
          <w:szCs w:val="24"/>
          <w:vertAlign w:val="superscript"/>
        </w:rPr>
        <w:t>18</w:t>
      </w:r>
      <w:r w:rsidR="003F3B59">
        <w:rPr>
          <w:rFonts w:ascii="Arial" w:hAnsi="Arial" w:cs="Arial"/>
          <w:sz w:val="24"/>
          <w:szCs w:val="24"/>
          <w:lang w:val="en-US"/>
        </w:rPr>
        <w:t>F</w:t>
      </w:r>
      <w:r w:rsidR="003F3B59" w:rsidRPr="003F3B59">
        <w:rPr>
          <w:rFonts w:ascii="Arial" w:hAnsi="Arial" w:cs="Arial"/>
          <w:sz w:val="24"/>
          <w:szCs w:val="24"/>
        </w:rPr>
        <w:t xml:space="preserve"> </w:t>
      </w:r>
      <w:r w:rsidR="003F3B59">
        <w:rPr>
          <w:rFonts w:ascii="Arial" w:hAnsi="Arial" w:cs="Arial"/>
          <w:sz w:val="24"/>
          <w:szCs w:val="24"/>
          <w:lang w:val="en-US"/>
        </w:rPr>
        <w:t>deoxyglucose</w:t>
      </w:r>
      <w:r w:rsidR="003F3B59" w:rsidRPr="003F3B59">
        <w:rPr>
          <w:rFonts w:ascii="Arial" w:hAnsi="Arial" w:cs="Arial"/>
          <w:sz w:val="24"/>
          <w:szCs w:val="24"/>
        </w:rPr>
        <w:t>). Σ</w:t>
      </w:r>
      <w:r w:rsidR="003F3B59">
        <w:rPr>
          <w:rFonts w:ascii="Arial" w:hAnsi="Arial" w:cs="Arial"/>
          <w:sz w:val="24"/>
          <w:szCs w:val="24"/>
        </w:rPr>
        <w:t xml:space="preserve">ε καλά διαφοροποιημένους όγκους, με λιγότερο έντονο μεταβολισμό, </w:t>
      </w:r>
      <w:r w:rsidR="00350D66">
        <w:rPr>
          <w:rFonts w:ascii="Arial" w:hAnsi="Arial" w:cs="Arial"/>
          <w:sz w:val="24"/>
          <w:szCs w:val="24"/>
        </w:rPr>
        <w:t xml:space="preserve">η πρόσληψη της </w:t>
      </w:r>
      <w:r w:rsidR="00350D66">
        <w:rPr>
          <w:rFonts w:ascii="Arial" w:hAnsi="Arial" w:cs="Arial"/>
          <w:sz w:val="24"/>
          <w:szCs w:val="24"/>
          <w:lang w:val="en-US"/>
        </w:rPr>
        <w:t>FDG</w:t>
      </w:r>
      <w:r w:rsidR="00350D66" w:rsidRPr="00350D66">
        <w:rPr>
          <w:rFonts w:ascii="Arial" w:hAnsi="Arial" w:cs="Arial"/>
          <w:sz w:val="24"/>
          <w:szCs w:val="24"/>
        </w:rPr>
        <w:t xml:space="preserve"> ε</w:t>
      </w:r>
      <w:r w:rsidR="00350D66">
        <w:rPr>
          <w:rFonts w:ascii="Arial" w:hAnsi="Arial" w:cs="Arial"/>
          <w:sz w:val="24"/>
          <w:szCs w:val="24"/>
        </w:rPr>
        <w:t>ίναι ανεπαρκής και, στην περίπτωση αυτή, χρησιμοποιείται 5-υδροξυτρυπτοφάνη σεσημασμένη με C</w:t>
      </w:r>
      <w:r w:rsidR="00350D66" w:rsidRPr="00350D66">
        <w:rPr>
          <w:rFonts w:ascii="Arial" w:hAnsi="Arial" w:cs="Arial"/>
          <w:sz w:val="24"/>
          <w:szCs w:val="24"/>
          <w:vertAlign w:val="superscript"/>
        </w:rPr>
        <w:t>15</w:t>
      </w:r>
      <w:r w:rsidR="00350D66" w:rsidRPr="00350D66">
        <w:rPr>
          <w:rFonts w:ascii="Arial" w:hAnsi="Arial" w:cs="Arial"/>
          <w:sz w:val="24"/>
          <w:szCs w:val="24"/>
        </w:rPr>
        <w:t>.</w:t>
      </w:r>
    </w:p>
    <w:p w:rsidR="00397BCE" w:rsidRDefault="00350D66" w:rsidP="003E071D">
      <w:pPr>
        <w:pStyle w:val="ListParagraph"/>
        <w:numPr>
          <w:ilvl w:val="0"/>
          <w:numId w:val="10"/>
        </w:numPr>
        <w:spacing w:line="240" w:lineRule="auto"/>
        <w:jc w:val="both"/>
        <w:rPr>
          <w:rFonts w:ascii="Arial" w:hAnsi="Arial" w:cs="Arial"/>
          <w:sz w:val="24"/>
          <w:szCs w:val="24"/>
        </w:rPr>
      </w:pPr>
      <w:r w:rsidRPr="00397BCE">
        <w:rPr>
          <w:rFonts w:ascii="Arial" w:hAnsi="Arial" w:cs="Arial"/>
          <w:sz w:val="24"/>
          <w:szCs w:val="24"/>
        </w:rPr>
        <w:t>Η ενδοσκόπηση είναι μέθοδος περιορισμένης αξίας για τη διάγνωση καρκινοειδών όγκων του λεπτού εντέρου, εκτός του δωδεκαδακτύλου και οι ακτινολογικές εξετάσεις δεν εμφανίζουν ειδικότητα.</w:t>
      </w:r>
    </w:p>
    <w:p w:rsidR="00397BCE" w:rsidRDefault="00397BCE" w:rsidP="00397BCE">
      <w:pPr>
        <w:spacing w:line="240" w:lineRule="auto"/>
        <w:ind w:left="720"/>
        <w:jc w:val="both"/>
        <w:rPr>
          <w:rFonts w:ascii="Arial" w:hAnsi="Arial" w:cs="Arial"/>
          <w:b/>
          <w:i/>
          <w:sz w:val="24"/>
          <w:szCs w:val="24"/>
        </w:rPr>
      </w:pPr>
      <w:r>
        <w:rPr>
          <w:rFonts w:ascii="Arial" w:hAnsi="Arial" w:cs="Arial"/>
          <w:b/>
          <w:i/>
          <w:sz w:val="24"/>
          <w:szCs w:val="24"/>
        </w:rPr>
        <w:t>Σταδιοποίηση</w:t>
      </w:r>
    </w:p>
    <w:p w:rsidR="00397BCE" w:rsidRDefault="00397BCE" w:rsidP="00397BCE">
      <w:pPr>
        <w:spacing w:line="240" w:lineRule="auto"/>
        <w:ind w:left="720"/>
        <w:jc w:val="both"/>
        <w:rPr>
          <w:rFonts w:ascii="Arial" w:hAnsi="Arial" w:cs="Arial"/>
          <w:sz w:val="24"/>
          <w:szCs w:val="24"/>
        </w:rPr>
      </w:pPr>
      <w:r>
        <w:rPr>
          <w:rFonts w:ascii="Arial" w:hAnsi="Arial" w:cs="Arial"/>
          <w:sz w:val="24"/>
          <w:szCs w:val="24"/>
        </w:rPr>
        <w:t>Δεν υπάρχει ένα σύστημα ταξινόμησης και σταδιοποίησης των καρκινοειδών όγκων. Τα διάφορα συστήματα ταξινόμησης είναι:</w:t>
      </w:r>
    </w:p>
    <w:p w:rsidR="00457106" w:rsidRDefault="00397BCE" w:rsidP="003E071D">
      <w:pPr>
        <w:pStyle w:val="ListParagraph"/>
        <w:numPr>
          <w:ilvl w:val="0"/>
          <w:numId w:val="11"/>
        </w:numPr>
        <w:spacing w:line="240" w:lineRule="auto"/>
        <w:jc w:val="both"/>
        <w:rPr>
          <w:rFonts w:ascii="Arial" w:hAnsi="Arial" w:cs="Arial"/>
          <w:sz w:val="24"/>
          <w:szCs w:val="24"/>
        </w:rPr>
      </w:pPr>
      <w:r>
        <w:rPr>
          <w:rFonts w:ascii="Arial" w:hAnsi="Arial" w:cs="Arial"/>
          <w:sz w:val="24"/>
          <w:szCs w:val="24"/>
        </w:rPr>
        <w:t>Του</w:t>
      </w:r>
      <w:r w:rsidRPr="00397BCE">
        <w:rPr>
          <w:rFonts w:ascii="Arial" w:hAnsi="Arial" w:cs="Arial"/>
          <w:sz w:val="24"/>
          <w:szCs w:val="24"/>
        </w:rPr>
        <w:t xml:space="preserve"> </w:t>
      </w:r>
      <w:r w:rsidRPr="00397BCE">
        <w:rPr>
          <w:rFonts w:ascii="Arial" w:hAnsi="Arial" w:cs="Arial"/>
          <w:sz w:val="24"/>
          <w:szCs w:val="24"/>
          <w:lang w:val="en-US"/>
        </w:rPr>
        <w:t>WHO</w:t>
      </w:r>
      <w:r w:rsidRPr="00397BCE">
        <w:rPr>
          <w:rFonts w:ascii="Arial" w:hAnsi="Arial" w:cs="Arial"/>
          <w:sz w:val="24"/>
          <w:szCs w:val="24"/>
        </w:rPr>
        <w:t xml:space="preserve"> (</w:t>
      </w:r>
      <w:r w:rsidRPr="00397BCE">
        <w:rPr>
          <w:rFonts w:ascii="Arial" w:hAnsi="Arial" w:cs="Arial"/>
          <w:sz w:val="24"/>
          <w:szCs w:val="24"/>
          <w:lang w:val="en-US"/>
        </w:rPr>
        <w:t>World</w:t>
      </w:r>
      <w:r w:rsidRPr="00397BCE">
        <w:rPr>
          <w:rFonts w:ascii="Arial" w:hAnsi="Arial" w:cs="Arial"/>
          <w:sz w:val="24"/>
          <w:szCs w:val="24"/>
        </w:rPr>
        <w:t xml:space="preserve"> </w:t>
      </w:r>
      <w:r w:rsidRPr="00397BCE">
        <w:rPr>
          <w:rFonts w:ascii="Arial" w:hAnsi="Arial" w:cs="Arial"/>
          <w:sz w:val="24"/>
          <w:szCs w:val="24"/>
          <w:lang w:val="en-US"/>
        </w:rPr>
        <w:t>Health</w:t>
      </w:r>
      <w:r w:rsidRPr="00397BCE">
        <w:rPr>
          <w:rFonts w:ascii="Arial" w:hAnsi="Arial" w:cs="Arial"/>
          <w:sz w:val="24"/>
          <w:szCs w:val="24"/>
        </w:rPr>
        <w:t xml:space="preserve"> </w:t>
      </w:r>
      <w:r w:rsidRPr="00397BCE">
        <w:rPr>
          <w:rFonts w:ascii="Arial" w:hAnsi="Arial" w:cs="Arial"/>
          <w:sz w:val="24"/>
          <w:szCs w:val="24"/>
          <w:lang w:val="en-US"/>
        </w:rPr>
        <w:t>Organization</w:t>
      </w:r>
      <w:r w:rsidRPr="00397BCE">
        <w:rPr>
          <w:rFonts w:ascii="Arial" w:hAnsi="Arial" w:cs="Arial"/>
          <w:sz w:val="24"/>
          <w:szCs w:val="24"/>
        </w:rPr>
        <w:t xml:space="preserve">), </w:t>
      </w:r>
      <w:r>
        <w:rPr>
          <w:rFonts w:ascii="Arial" w:hAnsi="Arial" w:cs="Arial"/>
          <w:sz w:val="24"/>
          <w:szCs w:val="24"/>
        </w:rPr>
        <w:t>που</w:t>
      </w:r>
      <w:r w:rsidRPr="00397BCE">
        <w:rPr>
          <w:rFonts w:ascii="Arial" w:hAnsi="Arial" w:cs="Arial"/>
          <w:sz w:val="24"/>
          <w:szCs w:val="24"/>
        </w:rPr>
        <w:t xml:space="preserve"> </w:t>
      </w:r>
      <w:r>
        <w:rPr>
          <w:rFonts w:ascii="Arial" w:hAnsi="Arial" w:cs="Arial"/>
          <w:sz w:val="24"/>
          <w:szCs w:val="24"/>
        </w:rPr>
        <w:t>στηρίζεται στο βαθμό κακοήθειας του όγκου και τους διακρίνει σε</w:t>
      </w:r>
      <w:r w:rsidR="007141F2">
        <w:rPr>
          <w:rFonts w:ascii="Arial" w:hAnsi="Arial" w:cs="Arial"/>
          <w:sz w:val="24"/>
          <w:szCs w:val="24"/>
        </w:rPr>
        <w:t>:</w:t>
      </w:r>
      <w:r>
        <w:rPr>
          <w:rFonts w:ascii="Arial" w:hAnsi="Arial" w:cs="Arial"/>
          <w:sz w:val="24"/>
          <w:szCs w:val="24"/>
        </w:rPr>
        <w:t xml:space="preserve"> καλοήθεις νευροενδοκρινείς όγκους και σε κακοήθεις, τους οποίους επιπλέον διακρίνει σε</w:t>
      </w:r>
      <w:r w:rsidR="007141F2">
        <w:rPr>
          <w:rFonts w:ascii="Arial" w:hAnsi="Arial" w:cs="Arial"/>
          <w:sz w:val="24"/>
          <w:szCs w:val="24"/>
        </w:rPr>
        <w:t>:</w:t>
      </w:r>
      <w:r>
        <w:rPr>
          <w:rFonts w:ascii="Arial" w:hAnsi="Arial" w:cs="Arial"/>
          <w:sz w:val="24"/>
          <w:szCs w:val="24"/>
        </w:rPr>
        <w:t xml:space="preserve"> καλ</w:t>
      </w:r>
      <w:r w:rsidR="007141F2">
        <w:rPr>
          <w:rFonts w:ascii="Arial" w:hAnsi="Arial" w:cs="Arial"/>
          <w:sz w:val="24"/>
          <w:szCs w:val="24"/>
        </w:rPr>
        <w:t>ά διαφοροποιημένους (μη επιθετικούς) και σε κακά διαφοροποιημένους (επιθετικούς).</w:t>
      </w:r>
    </w:p>
    <w:p w:rsidR="007141F2" w:rsidRDefault="007141F2" w:rsidP="003E071D">
      <w:pPr>
        <w:pStyle w:val="ListParagraph"/>
        <w:numPr>
          <w:ilvl w:val="0"/>
          <w:numId w:val="11"/>
        </w:numPr>
        <w:spacing w:line="240" w:lineRule="auto"/>
        <w:jc w:val="both"/>
        <w:rPr>
          <w:rFonts w:ascii="Arial" w:hAnsi="Arial" w:cs="Arial"/>
          <w:sz w:val="24"/>
          <w:szCs w:val="24"/>
        </w:rPr>
      </w:pPr>
      <w:r>
        <w:rPr>
          <w:rFonts w:ascii="Arial" w:hAnsi="Arial" w:cs="Arial"/>
          <w:sz w:val="24"/>
          <w:szCs w:val="24"/>
        </w:rPr>
        <w:t xml:space="preserve">Με βάση την επέκτασή τους οι καρκινοειδείς όγκοι διακρίνονται σε: εντοπισμένους (περιορισμένους στο όργανο ανάπτυξής τους), περιοχικά επεκτεινόμενους (περιορισμένη διήθηση των πέριξ ιστών) και σε μεταστατικούς. </w:t>
      </w:r>
    </w:p>
    <w:p w:rsidR="00973121" w:rsidRPr="00282816" w:rsidRDefault="00973121" w:rsidP="00365120">
      <w:pPr>
        <w:spacing w:line="240" w:lineRule="auto"/>
        <w:ind w:firstLine="720"/>
        <w:jc w:val="both"/>
        <w:rPr>
          <w:rFonts w:ascii="Arial" w:hAnsi="Arial" w:cs="Arial"/>
          <w:b/>
          <w:i/>
          <w:sz w:val="24"/>
          <w:szCs w:val="24"/>
        </w:rPr>
      </w:pPr>
      <w:r>
        <w:rPr>
          <w:rFonts w:ascii="Arial" w:hAnsi="Arial" w:cs="Arial"/>
          <w:b/>
          <w:i/>
          <w:sz w:val="24"/>
          <w:szCs w:val="24"/>
        </w:rPr>
        <w:t>Θεραπεία</w:t>
      </w:r>
    </w:p>
    <w:p w:rsidR="00C00E3C" w:rsidRDefault="00C00E3C" w:rsidP="00973121">
      <w:pPr>
        <w:spacing w:line="240" w:lineRule="auto"/>
        <w:ind w:left="864"/>
        <w:jc w:val="both"/>
        <w:rPr>
          <w:rFonts w:ascii="Arial" w:hAnsi="Arial" w:cs="Arial"/>
          <w:sz w:val="24"/>
          <w:szCs w:val="24"/>
        </w:rPr>
      </w:pPr>
      <w:r>
        <w:rPr>
          <w:rFonts w:ascii="Arial" w:hAnsi="Arial" w:cs="Arial"/>
          <w:sz w:val="24"/>
          <w:szCs w:val="24"/>
          <w:u w:val="single"/>
        </w:rPr>
        <w:t>Χειρουργική θεραπεία</w:t>
      </w:r>
      <w:r>
        <w:rPr>
          <w:rFonts w:ascii="Arial" w:hAnsi="Arial" w:cs="Arial"/>
          <w:sz w:val="24"/>
          <w:szCs w:val="24"/>
        </w:rPr>
        <w:t>. Η χειρουργική αποτελεί την πλέον</w:t>
      </w:r>
    </w:p>
    <w:p w:rsidR="007B0D7C" w:rsidRDefault="00C00E3C" w:rsidP="00C00E3C">
      <w:pPr>
        <w:spacing w:line="240" w:lineRule="auto"/>
        <w:jc w:val="both"/>
        <w:rPr>
          <w:rFonts w:ascii="Arial" w:hAnsi="Arial" w:cs="Arial"/>
          <w:sz w:val="24"/>
          <w:szCs w:val="24"/>
        </w:rPr>
      </w:pPr>
      <w:r>
        <w:rPr>
          <w:rFonts w:ascii="Arial" w:hAnsi="Arial" w:cs="Arial"/>
          <w:sz w:val="24"/>
          <w:szCs w:val="24"/>
        </w:rPr>
        <w:t xml:space="preserve">αποτελεσματική μέθοδο αντιμετώπισης των καρκινοειδών όγκων του λεπτού εντέρου. Κατά τη διάρκεια της επέμβασης πρέπει να εκτελείται σχολαστικός έλεγχος σε όλο το μήκος του εντέρου, καθώς η πιθανότητα ύπαρξης πολλαπλών όγκων είναι αρκετά μεγάλη. Το μέγεθος του όγκου αποτελεί ένα καλό δείκτη του βαθμού κακοήθειας. Έτσι, για όγκους </w:t>
      </w:r>
      <w:r w:rsidR="00CF55B5">
        <w:rPr>
          <w:rFonts w:ascii="Arial" w:hAnsi="Arial" w:cs="Arial"/>
          <w:sz w:val="24"/>
          <w:szCs w:val="24"/>
        </w:rPr>
        <w:t xml:space="preserve">μικρότερους του 1 εκ. η </w:t>
      </w:r>
      <w:r w:rsidR="00CF55B5">
        <w:rPr>
          <w:rFonts w:ascii="Arial" w:hAnsi="Arial" w:cs="Arial"/>
          <w:sz w:val="24"/>
          <w:szCs w:val="24"/>
        </w:rPr>
        <w:lastRenderedPageBreak/>
        <w:t xml:space="preserve">τοπική εκτομή του είναι, συνήθως, αρκετή. </w:t>
      </w:r>
      <w:r>
        <w:rPr>
          <w:rFonts w:ascii="Arial" w:hAnsi="Arial" w:cs="Arial"/>
          <w:sz w:val="24"/>
          <w:szCs w:val="24"/>
        </w:rPr>
        <w:t xml:space="preserve"> </w:t>
      </w:r>
      <w:r w:rsidR="00CF55B5">
        <w:rPr>
          <w:rFonts w:ascii="Arial" w:hAnsi="Arial" w:cs="Arial"/>
          <w:sz w:val="24"/>
          <w:szCs w:val="24"/>
        </w:rPr>
        <w:t>Αντίθετα, για όγκους με διάμετρο μεγαλύτερη του 1,5 εκ. απαιτείται τμηματική εκτομή του λεπτού εντέρου και περιοχική λεμφαδενεκτομή, καθώς η πιθανότητα υποτροπής είναι σημαντική.</w:t>
      </w:r>
      <w:r w:rsidR="007B0D7C">
        <w:rPr>
          <w:rFonts w:ascii="Arial" w:hAnsi="Arial" w:cs="Arial"/>
          <w:sz w:val="24"/>
          <w:szCs w:val="24"/>
        </w:rPr>
        <w:t xml:space="preserve"> </w:t>
      </w:r>
    </w:p>
    <w:p w:rsidR="00C00E3C" w:rsidRDefault="007B0D7C" w:rsidP="00C00E3C">
      <w:pPr>
        <w:spacing w:line="240" w:lineRule="auto"/>
        <w:jc w:val="both"/>
        <w:rPr>
          <w:rFonts w:ascii="Arial" w:hAnsi="Arial" w:cs="Arial"/>
          <w:sz w:val="24"/>
          <w:szCs w:val="24"/>
        </w:rPr>
      </w:pPr>
      <w:r>
        <w:rPr>
          <w:rFonts w:ascii="Arial" w:hAnsi="Arial" w:cs="Arial"/>
          <w:sz w:val="24"/>
          <w:szCs w:val="24"/>
        </w:rPr>
        <w:tab/>
      </w:r>
      <w:r w:rsidRPr="007B0D7C">
        <w:rPr>
          <w:rFonts w:ascii="Arial" w:hAnsi="Arial" w:cs="Arial"/>
          <w:sz w:val="24"/>
          <w:szCs w:val="24"/>
          <w:u w:val="single"/>
        </w:rPr>
        <w:t>Φαρμακευτική αγωγή</w:t>
      </w:r>
      <w:r>
        <w:rPr>
          <w:rFonts w:ascii="Arial" w:hAnsi="Arial" w:cs="Arial"/>
          <w:sz w:val="24"/>
          <w:szCs w:val="24"/>
        </w:rPr>
        <w:t xml:space="preserve">. </w:t>
      </w:r>
    </w:p>
    <w:p w:rsidR="00D8591F" w:rsidRDefault="00D8591F" w:rsidP="003E071D">
      <w:pPr>
        <w:pStyle w:val="ListParagraph"/>
        <w:numPr>
          <w:ilvl w:val="0"/>
          <w:numId w:val="12"/>
        </w:numPr>
        <w:spacing w:line="240" w:lineRule="auto"/>
        <w:jc w:val="both"/>
        <w:rPr>
          <w:rFonts w:ascii="Arial" w:hAnsi="Arial" w:cs="Arial"/>
          <w:sz w:val="24"/>
          <w:szCs w:val="24"/>
        </w:rPr>
      </w:pPr>
      <w:r>
        <w:rPr>
          <w:rFonts w:ascii="Arial" w:hAnsi="Arial" w:cs="Arial"/>
          <w:sz w:val="24"/>
          <w:szCs w:val="24"/>
        </w:rPr>
        <w:t>Χημειοθεραπεία. Η πιθανότητα ανταπόκρι</w:t>
      </w:r>
      <w:r w:rsidR="005E27DB">
        <w:rPr>
          <w:rFonts w:ascii="Arial" w:hAnsi="Arial" w:cs="Arial"/>
          <w:sz w:val="24"/>
          <w:szCs w:val="24"/>
        </w:rPr>
        <w:t>σης των καρκινοειδών όγκων στη</w:t>
      </w:r>
      <w:r>
        <w:rPr>
          <w:rFonts w:ascii="Arial" w:hAnsi="Arial" w:cs="Arial"/>
          <w:sz w:val="24"/>
          <w:szCs w:val="24"/>
        </w:rPr>
        <w:t xml:space="preserve"> χρήση χημειοθεραπευτικών φαρμάκων ποικίλλει, αλλά σπάνια υπερβαίνει το 30% και είναι προσωρινή</w:t>
      </w:r>
      <w:r w:rsidR="00855279">
        <w:rPr>
          <w:rFonts w:ascii="Arial" w:hAnsi="Arial" w:cs="Arial"/>
          <w:sz w:val="24"/>
          <w:szCs w:val="24"/>
        </w:rPr>
        <w:t xml:space="preserve"> με ρόλο παρηγορικό</w:t>
      </w:r>
      <w:r>
        <w:rPr>
          <w:rFonts w:ascii="Arial" w:hAnsi="Arial" w:cs="Arial"/>
          <w:sz w:val="24"/>
          <w:szCs w:val="24"/>
        </w:rPr>
        <w:t>. Κυρίως, έχουν χρησιμοποιηθεί σχήματα με βάση την 5-Fluorouracil</w:t>
      </w:r>
      <w:r w:rsidRPr="00D8591F">
        <w:rPr>
          <w:rFonts w:ascii="Arial" w:hAnsi="Arial" w:cs="Arial"/>
          <w:sz w:val="24"/>
          <w:szCs w:val="24"/>
        </w:rPr>
        <w:t xml:space="preserve"> και</w:t>
      </w:r>
      <w:r>
        <w:rPr>
          <w:rFonts w:ascii="Arial" w:hAnsi="Arial" w:cs="Arial"/>
          <w:sz w:val="24"/>
          <w:szCs w:val="24"/>
        </w:rPr>
        <w:t xml:space="preserve"> Streptozocin σε ασθενείς με μεταστατικούς καρκινοειδείς όγκους. Η αξία νεώτερων φαρμάκων όπως, οι ταξάνες, η gemcitabine (</w:t>
      </w:r>
      <w:r>
        <w:rPr>
          <w:rFonts w:ascii="Arial" w:hAnsi="Arial" w:cs="Arial"/>
          <w:sz w:val="24"/>
          <w:szCs w:val="24"/>
          <w:lang w:val="en-US"/>
        </w:rPr>
        <w:t>Gemzar</w:t>
      </w:r>
      <w:r w:rsidR="00855279" w:rsidRPr="00855279">
        <w:rPr>
          <w:rFonts w:ascii="Arial" w:hAnsi="Arial" w:cs="Arial"/>
          <w:sz w:val="24"/>
          <w:szCs w:val="24"/>
        </w:rPr>
        <w:t>)</w:t>
      </w:r>
      <w:r w:rsidR="00855279">
        <w:rPr>
          <w:rFonts w:ascii="Arial" w:hAnsi="Arial" w:cs="Arial"/>
          <w:sz w:val="24"/>
          <w:szCs w:val="24"/>
        </w:rPr>
        <w:t xml:space="preserve"> και η</w:t>
      </w:r>
      <w:r w:rsidR="00855279" w:rsidRPr="00855279">
        <w:rPr>
          <w:rFonts w:ascii="Arial" w:hAnsi="Arial" w:cs="Arial"/>
          <w:sz w:val="24"/>
          <w:szCs w:val="24"/>
        </w:rPr>
        <w:t xml:space="preserve"> </w:t>
      </w:r>
      <w:r w:rsidR="00855279">
        <w:rPr>
          <w:rFonts w:ascii="Arial" w:hAnsi="Arial" w:cs="Arial"/>
          <w:sz w:val="24"/>
          <w:szCs w:val="24"/>
          <w:lang w:val="en-US"/>
        </w:rPr>
        <w:t>irinotecan</w:t>
      </w:r>
      <w:r w:rsidR="00855279" w:rsidRPr="00855279">
        <w:rPr>
          <w:rFonts w:ascii="Arial" w:hAnsi="Arial" w:cs="Arial"/>
          <w:sz w:val="24"/>
          <w:szCs w:val="24"/>
        </w:rPr>
        <w:t xml:space="preserve"> (</w:t>
      </w:r>
      <w:r w:rsidR="00855279">
        <w:rPr>
          <w:rFonts w:ascii="Arial" w:hAnsi="Arial" w:cs="Arial"/>
          <w:sz w:val="24"/>
          <w:szCs w:val="24"/>
          <w:lang w:val="en-US"/>
        </w:rPr>
        <w:t>Campto</w:t>
      </w:r>
      <w:r w:rsidR="00855279" w:rsidRPr="00855279">
        <w:rPr>
          <w:rFonts w:ascii="Arial" w:hAnsi="Arial" w:cs="Arial"/>
          <w:sz w:val="24"/>
          <w:szCs w:val="24"/>
        </w:rPr>
        <w:t>)</w:t>
      </w:r>
      <w:r w:rsidR="00855279">
        <w:rPr>
          <w:rFonts w:ascii="Arial" w:hAnsi="Arial" w:cs="Arial"/>
          <w:sz w:val="24"/>
          <w:szCs w:val="24"/>
        </w:rPr>
        <w:t xml:space="preserve"> δεν έχει αποδειχθεί.</w:t>
      </w:r>
    </w:p>
    <w:p w:rsidR="00160E2A" w:rsidRDefault="00160E2A" w:rsidP="003E071D">
      <w:pPr>
        <w:pStyle w:val="ListParagraph"/>
        <w:numPr>
          <w:ilvl w:val="0"/>
          <w:numId w:val="12"/>
        </w:numPr>
        <w:spacing w:line="240" w:lineRule="auto"/>
        <w:jc w:val="both"/>
        <w:rPr>
          <w:rFonts w:ascii="Arial" w:hAnsi="Arial" w:cs="Arial"/>
          <w:sz w:val="24"/>
          <w:szCs w:val="24"/>
        </w:rPr>
      </w:pPr>
      <w:r>
        <w:rPr>
          <w:rFonts w:ascii="Arial" w:hAnsi="Arial" w:cs="Arial"/>
          <w:sz w:val="24"/>
          <w:szCs w:val="24"/>
        </w:rPr>
        <w:t>Ακτινοθεραπεία. Ο ρόλος της είναι παρηγορικός και, κυρίως, σε επώδυνες οστικές μεταστάσεις.</w:t>
      </w:r>
    </w:p>
    <w:p w:rsidR="00FF5734" w:rsidRDefault="00160E2A" w:rsidP="003E071D">
      <w:pPr>
        <w:pStyle w:val="ListParagraph"/>
        <w:numPr>
          <w:ilvl w:val="0"/>
          <w:numId w:val="12"/>
        </w:numPr>
        <w:spacing w:line="240" w:lineRule="auto"/>
        <w:jc w:val="both"/>
        <w:rPr>
          <w:rFonts w:ascii="Arial" w:hAnsi="Arial" w:cs="Arial"/>
          <w:sz w:val="24"/>
          <w:szCs w:val="24"/>
        </w:rPr>
      </w:pPr>
      <w:r>
        <w:rPr>
          <w:rFonts w:ascii="Arial" w:hAnsi="Arial" w:cs="Arial"/>
          <w:sz w:val="24"/>
          <w:szCs w:val="24"/>
        </w:rPr>
        <w:t xml:space="preserve">Άλλες θεραπείες. Υψηλές δόσεις </w:t>
      </w:r>
      <w:r w:rsidRPr="004708DC">
        <w:rPr>
          <w:rFonts w:ascii="Arial" w:hAnsi="Arial" w:cs="Arial"/>
          <w:sz w:val="24"/>
          <w:szCs w:val="24"/>
        </w:rPr>
        <w:t>ραδιο</w:t>
      </w:r>
      <w:r>
        <w:rPr>
          <w:rFonts w:ascii="Arial" w:hAnsi="Arial" w:cs="Arial"/>
          <w:sz w:val="24"/>
          <w:szCs w:val="24"/>
        </w:rPr>
        <w:t>σεσημασμένης με I</w:t>
      </w:r>
      <w:r w:rsidRPr="004708DC">
        <w:rPr>
          <w:rFonts w:ascii="Arial" w:hAnsi="Arial" w:cs="Arial"/>
          <w:sz w:val="24"/>
          <w:szCs w:val="24"/>
          <w:vertAlign w:val="superscript"/>
        </w:rPr>
        <w:t>131</w:t>
      </w:r>
      <w:r>
        <w:rPr>
          <w:rFonts w:ascii="Arial" w:hAnsi="Arial" w:cs="Arial"/>
          <w:sz w:val="24"/>
          <w:szCs w:val="24"/>
        </w:rPr>
        <w:t xml:space="preserve"> metaiodobenzylguanidine</w:t>
      </w:r>
      <w:r w:rsidR="004708DC" w:rsidRPr="004708DC">
        <w:rPr>
          <w:rFonts w:ascii="Arial" w:hAnsi="Arial" w:cs="Arial"/>
          <w:sz w:val="24"/>
          <w:szCs w:val="24"/>
        </w:rPr>
        <w:t>, μικρ</w:t>
      </w:r>
      <w:r w:rsidR="004708DC">
        <w:rPr>
          <w:rFonts w:ascii="Arial" w:hAnsi="Arial" w:cs="Arial"/>
          <w:sz w:val="24"/>
          <w:szCs w:val="24"/>
        </w:rPr>
        <w:t>ές δόσεις ιντερφερόνης-α και οκτρεοτίδη έχουν χρησιμοποιηθεί με αποτέλεσμα κάποια βελτίωση των συμπτωμάτων. Ανταπόκριση, όμως, του όγκου σπάνια παρατηρείται και, όταν συμβαίνει, είναι προσωρινή.</w:t>
      </w:r>
      <w:r w:rsidR="004840D0">
        <w:rPr>
          <w:rFonts w:ascii="Arial" w:hAnsi="Arial" w:cs="Arial"/>
          <w:sz w:val="24"/>
          <w:szCs w:val="24"/>
          <w:vertAlign w:val="superscript"/>
        </w:rPr>
        <w:t>31</w:t>
      </w:r>
      <w:r w:rsidR="00114B7D">
        <w:rPr>
          <w:rFonts w:ascii="Arial" w:hAnsi="Arial" w:cs="Arial"/>
          <w:sz w:val="24"/>
          <w:szCs w:val="24"/>
        </w:rPr>
        <w:t xml:space="preserve"> Η χορήγηση οκτρεοτίδης, ανάλογου της σωματοστατίνης, προκαλεί ύφεση των συμπτωμάτων του καρκινοειδούς συνδρόμου, εφόσον στο OctreoScan έχει αποδειχθεί η παρουσία υποδοχέων σωματοστατίνης στον όγκο. Σε ασθενείς με </w:t>
      </w:r>
      <w:r w:rsidR="00BB68CB">
        <w:rPr>
          <w:rFonts w:ascii="Arial" w:hAnsi="Arial" w:cs="Arial"/>
          <w:sz w:val="24"/>
          <w:szCs w:val="24"/>
        </w:rPr>
        <w:t>σημαντικά διαρροϊκά επεισόδια, η χορήγηση αντιδιαρροϊκών φαρμάκων αποδεικνύεται χρήσιμη. Συνήθως χρησιμοποιείται Cyproheptadine και αναστολείς των υποδοχέων της ισταμίνης-2</w:t>
      </w:r>
      <w:r w:rsidR="00C60FD3">
        <w:rPr>
          <w:rFonts w:ascii="Arial" w:hAnsi="Arial" w:cs="Arial"/>
          <w:sz w:val="24"/>
          <w:szCs w:val="24"/>
        </w:rPr>
        <w:t>, καθώς προκαλούν καταστολή της παραγωγής των αγγειοδραστικών αμινών και εμποδίζουν την περιφερική τους δράση.</w:t>
      </w:r>
    </w:p>
    <w:p w:rsidR="00FF5734" w:rsidRDefault="00FF5734" w:rsidP="00FF5734">
      <w:pPr>
        <w:spacing w:line="240" w:lineRule="auto"/>
        <w:ind w:left="728"/>
        <w:jc w:val="both"/>
        <w:rPr>
          <w:rFonts w:ascii="Arial" w:hAnsi="Arial" w:cs="Arial"/>
          <w:sz w:val="24"/>
          <w:szCs w:val="24"/>
        </w:rPr>
      </w:pPr>
      <w:r>
        <w:rPr>
          <w:rFonts w:ascii="Arial" w:hAnsi="Arial" w:cs="Arial"/>
          <w:sz w:val="24"/>
          <w:szCs w:val="24"/>
          <w:u w:val="single"/>
        </w:rPr>
        <w:t>Θεραπεία</w:t>
      </w:r>
      <w:r w:rsidRPr="00FF5734">
        <w:rPr>
          <w:rFonts w:ascii="Arial" w:hAnsi="Arial" w:cs="Arial"/>
          <w:sz w:val="24"/>
          <w:szCs w:val="24"/>
          <w:u w:val="single"/>
        </w:rPr>
        <w:t xml:space="preserve"> </w:t>
      </w:r>
      <w:r>
        <w:rPr>
          <w:rFonts w:ascii="Arial" w:hAnsi="Arial" w:cs="Arial"/>
          <w:sz w:val="24"/>
          <w:szCs w:val="24"/>
          <w:u w:val="single"/>
        </w:rPr>
        <w:t>των</w:t>
      </w:r>
      <w:r w:rsidRPr="00FF5734">
        <w:rPr>
          <w:rFonts w:ascii="Arial" w:hAnsi="Arial" w:cs="Arial"/>
          <w:sz w:val="24"/>
          <w:szCs w:val="24"/>
          <w:u w:val="single"/>
        </w:rPr>
        <w:t xml:space="preserve"> </w:t>
      </w:r>
      <w:r>
        <w:rPr>
          <w:rFonts w:ascii="Arial" w:hAnsi="Arial" w:cs="Arial"/>
          <w:sz w:val="24"/>
          <w:szCs w:val="24"/>
          <w:u w:val="single"/>
        </w:rPr>
        <w:t>μεταστάσεων</w:t>
      </w:r>
      <w:r w:rsidRPr="00FF5734">
        <w:rPr>
          <w:rFonts w:ascii="Arial" w:hAnsi="Arial" w:cs="Arial"/>
          <w:sz w:val="24"/>
          <w:szCs w:val="24"/>
        </w:rPr>
        <w:t>.</w:t>
      </w:r>
      <w:r>
        <w:rPr>
          <w:rFonts w:ascii="Arial" w:hAnsi="Arial" w:cs="Arial"/>
          <w:sz w:val="24"/>
          <w:szCs w:val="24"/>
        </w:rPr>
        <w:t xml:space="preserve"> Η χειρουργική αντιμετώπιση των μεταστάσεων ενδείκνυται στις περισσότερες περιπτώσεις, καθώς αποτελεί την αποτελεσματικότερη μέθοδο ανακούφισης των συμπτωμάτων.</w:t>
      </w:r>
    </w:p>
    <w:p w:rsidR="00B91E60" w:rsidRDefault="00B91E60" w:rsidP="003E071D">
      <w:pPr>
        <w:pStyle w:val="ListParagraph"/>
        <w:numPr>
          <w:ilvl w:val="0"/>
          <w:numId w:val="13"/>
        </w:numPr>
        <w:spacing w:line="240" w:lineRule="auto"/>
        <w:jc w:val="both"/>
        <w:rPr>
          <w:rFonts w:ascii="Arial" w:hAnsi="Arial" w:cs="Arial"/>
          <w:sz w:val="24"/>
          <w:szCs w:val="24"/>
        </w:rPr>
      </w:pPr>
      <w:r>
        <w:rPr>
          <w:rFonts w:ascii="Arial" w:hAnsi="Arial" w:cs="Arial"/>
          <w:sz w:val="24"/>
          <w:szCs w:val="24"/>
        </w:rPr>
        <w:t>Ο πρωτοπαθής όγκος του λεπτού εντέρου πρέπει να εξαιρείται, έστω και εάν υπάρχουν απομακρυσμένες μεταστάσεις, προς αποφυγή μελλοντικής εντερικής απόφραξης.</w:t>
      </w:r>
    </w:p>
    <w:p w:rsidR="00B91E60" w:rsidRDefault="00B91E60" w:rsidP="003E071D">
      <w:pPr>
        <w:pStyle w:val="ListParagraph"/>
        <w:numPr>
          <w:ilvl w:val="0"/>
          <w:numId w:val="13"/>
        </w:numPr>
        <w:spacing w:line="240" w:lineRule="auto"/>
        <w:jc w:val="both"/>
        <w:rPr>
          <w:rFonts w:ascii="Arial" w:hAnsi="Arial" w:cs="Arial"/>
          <w:sz w:val="24"/>
          <w:szCs w:val="24"/>
        </w:rPr>
      </w:pPr>
      <w:r>
        <w:rPr>
          <w:rFonts w:ascii="Arial" w:hAnsi="Arial" w:cs="Arial"/>
          <w:sz w:val="24"/>
          <w:szCs w:val="24"/>
        </w:rPr>
        <w:t>Σε περιπτώσεις απόφραξης, το αποφραχθέν τμήμα του λεπτού εντέρου αφαιρείται ή παρακάμπτεται.</w:t>
      </w:r>
    </w:p>
    <w:p w:rsidR="00B91E60" w:rsidRDefault="00B91E60" w:rsidP="003E071D">
      <w:pPr>
        <w:pStyle w:val="ListParagraph"/>
        <w:numPr>
          <w:ilvl w:val="0"/>
          <w:numId w:val="13"/>
        </w:numPr>
        <w:spacing w:line="240" w:lineRule="auto"/>
        <w:jc w:val="both"/>
        <w:rPr>
          <w:rFonts w:ascii="Arial" w:hAnsi="Arial" w:cs="Arial"/>
          <w:sz w:val="24"/>
          <w:szCs w:val="24"/>
        </w:rPr>
      </w:pPr>
      <w:r>
        <w:rPr>
          <w:rFonts w:ascii="Arial" w:hAnsi="Arial" w:cs="Arial"/>
          <w:sz w:val="24"/>
          <w:szCs w:val="24"/>
        </w:rPr>
        <w:t>Πολλαπλές ηπατικές μεταστάσεις, σε ασθενείς με καρκινοειδές σύνδρομο, αφαιρούνται ή καυτηριάζονται με αποτέλεσμα σημαντική ύφεση των συμπτωμάτων του συνδρόμου</w:t>
      </w:r>
      <w:r w:rsidR="00D658AE">
        <w:rPr>
          <w:rFonts w:ascii="Arial" w:hAnsi="Arial" w:cs="Arial"/>
          <w:sz w:val="24"/>
          <w:szCs w:val="24"/>
        </w:rPr>
        <w:t>.</w:t>
      </w:r>
    </w:p>
    <w:p w:rsidR="00160E2A" w:rsidRDefault="00B91E60" w:rsidP="003E071D">
      <w:pPr>
        <w:pStyle w:val="ListParagraph"/>
        <w:numPr>
          <w:ilvl w:val="0"/>
          <w:numId w:val="13"/>
        </w:numPr>
        <w:spacing w:line="240" w:lineRule="auto"/>
        <w:jc w:val="both"/>
        <w:rPr>
          <w:rFonts w:ascii="Arial" w:hAnsi="Arial" w:cs="Arial"/>
          <w:sz w:val="24"/>
          <w:szCs w:val="24"/>
        </w:rPr>
      </w:pPr>
      <w:r>
        <w:rPr>
          <w:rFonts w:ascii="Arial" w:hAnsi="Arial" w:cs="Arial"/>
          <w:sz w:val="24"/>
          <w:szCs w:val="24"/>
        </w:rPr>
        <w:t xml:space="preserve">Σε περιπτώσεις μεγάλων και μη εξαιρέσιμων ηπατικών μεταστάσεων, μπορεί να εφαρμοσθεί απολίνωση </w:t>
      </w:r>
      <w:r w:rsidR="00EB33C5">
        <w:rPr>
          <w:rFonts w:ascii="Arial" w:hAnsi="Arial" w:cs="Arial"/>
          <w:sz w:val="24"/>
          <w:szCs w:val="24"/>
        </w:rPr>
        <w:t xml:space="preserve">ή εμβολισμός της ηπατικής αρτηρίας σε συνδυασμό με ενδοηπατική έγχυση χημειοθεραπευτικών φαρμάκων. Η μέθοδος προκαλεί σημαντική νέκρωση του όγκου με μείωση της μάζας του έως και 60% σε μερικές περιπτώσεις, αλλά δυνατό να εμφανισθούν τοξικές </w:t>
      </w:r>
      <w:r w:rsidR="00EB33C5">
        <w:rPr>
          <w:rFonts w:ascii="Arial" w:hAnsi="Arial" w:cs="Arial"/>
          <w:sz w:val="24"/>
          <w:szCs w:val="24"/>
        </w:rPr>
        <w:lastRenderedPageBreak/>
        <w:t>παρενέργειες όπως, πυρετός, ναυτία, έμετοι και κοιλιακό άλγος.</w:t>
      </w:r>
      <w:r w:rsidR="00011BEE">
        <w:rPr>
          <w:rFonts w:ascii="Arial" w:hAnsi="Arial" w:cs="Arial"/>
          <w:sz w:val="24"/>
          <w:szCs w:val="24"/>
          <w:vertAlign w:val="superscript"/>
        </w:rPr>
        <w:t>32</w:t>
      </w:r>
      <w:r w:rsidR="00011BEE">
        <w:rPr>
          <w:rFonts w:ascii="Arial" w:hAnsi="Arial" w:cs="Arial"/>
          <w:sz w:val="24"/>
          <w:szCs w:val="24"/>
        </w:rPr>
        <w:t xml:space="preserve"> </w:t>
      </w:r>
      <w:r>
        <w:rPr>
          <w:rFonts w:ascii="Arial" w:hAnsi="Arial" w:cs="Arial"/>
          <w:sz w:val="24"/>
          <w:szCs w:val="24"/>
        </w:rPr>
        <w:t xml:space="preserve"> </w:t>
      </w:r>
    </w:p>
    <w:p w:rsidR="00282816" w:rsidRPr="00971C23" w:rsidRDefault="00E06477" w:rsidP="00E06477">
      <w:pPr>
        <w:spacing w:line="240" w:lineRule="auto"/>
        <w:ind w:left="720"/>
        <w:jc w:val="both"/>
        <w:rPr>
          <w:rFonts w:ascii="Arial" w:hAnsi="Arial" w:cs="Arial"/>
          <w:b/>
          <w:i/>
          <w:sz w:val="24"/>
          <w:szCs w:val="24"/>
        </w:rPr>
      </w:pPr>
      <w:r>
        <w:rPr>
          <w:rFonts w:ascii="Arial" w:hAnsi="Arial" w:cs="Arial"/>
          <w:b/>
          <w:i/>
          <w:sz w:val="24"/>
          <w:szCs w:val="24"/>
        </w:rPr>
        <w:t>Πρόγνωση</w:t>
      </w:r>
    </w:p>
    <w:p w:rsidR="00282816" w:rsidRDefault="00282816" w:rsidP="00E06477">
      <w:pPr>
        <w:spacing w:line="240" w:lineRule="auto"/>
        <w:ind w:left="720"/>
        <w:jc w:val="both"/>
        <w:rPr>
          <w:rFonts w:ascii="Arial" w:hAnsi="Arial" w:cs="Arial"/>
          <w:sz w:val="24"/>
          <w:szCs w:val="24"/>
        </w:rPr>
      </w:pPr>
      <w:r>
        <w:rPr>
          <w:rFonts w:ascii="Arial" w:hAnsi="Arial" w:cs="Arial"/>
          <w:sz w:val="24"/>
          <w:szCs w:val="24"/>
        </w:rPr>
        <w:t>Η πρόγνωση των καρκινοειδών όγκων εξαρτάται από τη θέση και το</w:t>
      </w:r>
    </w:p>
    <w:p w:rsidR="005C0188" w:rsidRDefault="00282816" w:rsidP="00282816">
      <w:pPr>
        <w:spacing w:line="240" w:lineRule="auto"/>
        <w:jc w:val="both"/>
        <w:rPr>
          <w:rFonts w:ascii="Arial" w:hAnsi="Arial" w:cs="Arial"/>
          <w:sz w:val="24"/>
          <w:szCs w:val="24"/>
        </w:rPr>
      </w:pPr>
      <w:r>
        <w:rPr>
          <w:rFonts w:ascii="Arial" w:hAnsi="Arial" w:cs="Arial"/>
          <w:sz w:val="24"/>
          <w:szCs w:val="24"/>
        </w:rPr>
        <w:t>μέγεθος</w:t>
      </w:r>
      <w:r w:rsidRPr="00282816">
        <w:rPr>
          <w:rFonts w:ascii="Arial" w:hAnsi="Arial" w:cs="Arial"/>
          <w:sz w:val="24"/>
          <w:szCs w:val="24"/>
        </w:rPr>
        <w:t xml:space="preserve"> </w:t>
      </w:r>
      <w:r>
        <w:rPr>
          <w:rFonts w:ascii="Arial" w:hAnsi="Arial" w:cs="Arial"/>
          <w:sz w:val="24"/>
          <w:szCs w:val="24"/>
        </w:rPr>
        <w:t>του</w:t>
      </w:r>
      <w:r w:rsidRPr="00282816">
        <w:rPr>
          <w:rFonts w:ascii="Arial" w:hAnsi="Arial" w:cs="Arial"/>
          <w:sz w:val="24"/>
          <w:szCs w:val="24"/>
        </w:rPr>
        <w:t xml:space="preserve"> </w:t>
      </w:r>
      <w:r>
        <w:rPr>
          <w:rFonts w:ascii="Arial" w:hAnsi="Arial" w:cs="Arial"/>
          <w:sz w:val="24"/>
          <w:szCs w:val="24"/>
        </w:rPr>
        <w:t>πρωτοπαθούς</w:t>
      </w:r>
      <w:r w:rsidRPr="00282816">
        <w:rPr>
          <w:rFonts w:ascii="Arial" w:hAnsi="Arial" w:cs="Arial"/>
          <w:sz w:val="24"/>
          <w:szCs w:val="24"/>
        </w:rPr>
        <w:t xml:space="preserve"> </w:t>
      </w:r>
      <w:r>
        <w:rPr>
          <w:rFonts w:ascii="Arial" w:hAnsi="Arial" w:cs="Arial"/>
          <w:sz w:val="24"/>
          <w:szCs w:val="24"/>
        </w:rPr>
        <w:t>όγκου</w:t>
      </w:r>
      <w:r w:rsidRPr="00282816">
        <w:rPr>
          <w:rFonts w:ascii="Arial" w:hAnsi="Arial" w:cs="Arial"/>
          <w:sz w:val="24"/>
          <w:szCs w:val="24"/>
        </w:rPr>
        <w:t>.</w:t>
      </w:r>
      <w:r>
        <w:rPr>
          <w:rFonts w:ascii="Arial" w:hAnsi="Arial" w:cs="Arial"/>
          <w:sz w:val="24"/>
          <w:szCs w:val="24"/>
        </w:rPr>
        <w:t xml:space="preserve"> Γενικά, οι</w:t>
      </w:r>
      <w:r w:rsidR="00DA32C1">
        <w:rPr>
          <w:rFonts w:ascii="Arial" w:hAnsi="Arial" w:cs="Arial"/>
          <w:sz w:val="24"/>
          <w:szCs w:val="24"/>
        </w:rPr>
        <w:t xml:space="preserve"> ασθενείς με</w:t>
      </w:r>
      <w:r>
        <w:rPr>
          <w:rFonts w:ascii="Arial" w:hAnsi="Arial" w:cs="Arial"/>
          <w:sz w:val="24"/>
          <w:szCs w:val="24"/>
        </w:rPr>
        <w:t xml:space="preserve"> </w:t>
      </w:r>
      <w:r w:rsidR="00DA32C1">
        <w:rPr>
          <w:rFonts w:ascii="Arial" w:hAnsi="Arial" w:cs="Arial"/>
          <w:sz w:val="24"/>
          <w:szCs w:val="24"/>
        </w:rPr>
        <w:t>όγκους</w:t>
      </w:r>
      <w:r>
        <w:rPr>
          <w:rFonts w:ascii="Arial" w:hAnsi="Arial" w:cs="Arial"/>
          <w:sz w:val="24"/>
          <w:szCs w:val="24"/>
        </w:rPr>
        <w:t xml:space="preserve"> που εξορμώνται από όργανα του μέσου εμβρυϊκού εντέρου </w:t>
      </w:r>
      <w:r w:rsidR="00DA32C1">
        <w:rPr>
          <w:rFonts w:ascii="Arial" w:hAnsi="Arial" w:cs="Arial"/>
          <w:sz w:val="24"/>
          <w:szCs w:val="24"/>
        </w:rPr>
        <w:t>επιβιώνουν για μεγαλύτερο διάστημα από ασθενείς με όγκους του προσθίου και του οπισθίου εμβρυϊκού εντέρου.</w:t>
      </w:r>
      <w:r w:rsidR="00731360">
        <w:rPr>
          <w:rFonts w:ascii="Arial" w:hAnsi="Arial" w:cs="Arial"/>
          <w:sz w:val="24"/>
          <w:szCs w:val="24"/>
        </w:rPr>
        <w:t xml:space="preserve"> Η πενταετής επιβίωση, από τη στιγμή διάγνωσης μεταστατικής νόσου, είναι περίπου 67% και καμία θεραπεία δεν έχει καταφέρει να παρατείνει την επιβίωση στους ασθενείς αυτούς. Όλοι οι θεραπευτικοί χειρισμοί έχουν παρηγορικό χαρακτήρα.</w:t>
      </w:r>
      <w:r w:rsidR="00452805">
        <w:rPr>
          <w:rFonts w:ascii="Arial" w:hAnsi="Arial" w:cs="Arial"/>
          <w:sz w:val="24"/>
          <w:szCs w:val="24"/>
        </w:rPr>
        <w:t xml:space="preserve"> Να τονισθεί ότι μόνο οι μισοί ασθενείς (57%) με καρκινοειδείς όγκους του λεπτού εντέρου εμφα</w:t>
      </w:r>
      <w:r w:rsidR="000F33E8">
        <w:rPr>
          <w:rFonts w:ascii="Arial" w:hAnsi="Arial" w:cs="Arial"/>
          <w:sz w:val="24"/>
          <w:szCs w:val="24"/>
        </w:rPr>
        <w:t>νίζονται με εντοπισμένη νόσο. Από τους υπόλοιπους,</w:t>
      </w:r>
      <w:r w:rsidR="00BD5C77">
        <w:rPr>
          <w:rFonts w:ascii="Arial" w:hAnsi="Arial" w:cs="Arial"/>
          <w:sz w:val="24"/>
          <w:szCs w:val="24"/>
        </w:rPr>
        <w:t xml:space="preserve"> το</w:t>
      </w:r>
      <w:r w:rsidR="00452805">
        <w:rPr>
          <w:rFonts w:ascii="Arial" w:hAnsi="Arial" w:cs="Arial"/>
          <w:sz w:val="24"/>
          <w:szCs w:val="24"/>
        </w:rPr>
        <w:t xml:space="preserve"> 67% των ασθενών εμφανίζεται με περιοχικές μεταστάσεις και το 40% με απομακρυσμένες μεταστάσεις.</w:t>
      </w:r>
    </w:p>
    <w:p w:rsidR="005C0188" w:rsidRDefault="005C0188" w:rsidP="00282816">
      <w:pPr>
        <w:spacing w:line="240" w:lineRule="auto"/>
        <w:jc w:val="both"/>
        <w:rPr>
          <w:rFonts w:ascii="Arial" w:hAnsi="Arial" w:cs="Arial"/>
          <w:b/>
          <w:i/>
          <w:sz w:val="24"/>
          <w:szCs w:val="24"/>
        </w:rPr>
      </w:pPr>
      <w:r>
        <w:rPr>
          <w:rFonts w:ascii="Arial" w:hAnsi="Arial" w:cs="Arial"/>
          <w:sz w:val="24"/>
          <w:szCs w:val="24"/>
        </w:rPr>
        <w:tab/>
      </w:r>
      <w:r>
        <w:rPr>
          <w:rFonts w:ascii="Arial" w:hAnsi="Arial" w:cs="Arial"/>
          <w:b/>
          <w:i/>
          <w:sz w:val="24"/>
          <w:szCs w:val="24"/>
        </w:rPr>
        <w:t>Παρακολούθηση</w:t>
      </w:r>
    </w:p>
    <w:p w:rsidR="00971C23" w:rsidRPr="00E81FBD" w:rsidRDefault="005C0188" w:rsidP="00282816">
      <w:pPr>
        <w:spacing w:line="240" w:lineRule="auto"/>
        <w:jc w:val="both"/>
        <w:rPr>
          <w:rFonts w:ascii="Arial" w:hAnsi="Arial" w:cs="Arial"/>
          <w:sz w:val="24"/>
          <w:szCs w:val="24"/>
        </w:rPr>
      </w:pPr>
      <w:r>
        <w:rPr>
          <w:rFonts w:ascii="Arial" w:hAnsi="Arial" w:cs="Arial"/>
          <w:sz w:val="24"/>
          <w:szCs w:val="24"/>
        </w:rPr>
        <w:tab/>
        <w:t>Για τους ασθενείς με καρκινοειδείς όγκους του λεπτού εντέρου απαιτείται συχνή παρακολούθηση για μεγάλο χρονικό</w:t>
      </w:r>
      <w:r w:rsidR="00EF1131">
        <w:rPr>
          <w:rFonts w:ascii="Arial" w:hAnsi="Arial" w:cs="Arial"/>
          <w:sz w:val="24"/>
          <w:szCs w:val="24"/>
        </w:rPr>
        <w:t xml:space="preserve"> διάστημα. Περιλαμβάνει τον, ανά</w:t>
      </w:r>
      <w:r>
        <w:rPr>
          <w:rFonts w:ascii="Arial" w:hAnsi="Arial" w:cs="Arial"/>
          <w:sz w:val="24"/>
          <w:szCs w:val="24"/>
        </w:rPr>
        <w:t xml:space="preserve"> 6 μήνες</w:t>
      </w:r>
      <w:r w:rsidR="00EF1131">
        <w:rPr>
          <w:rFonts w:ascii="Arial" w:hAnsi="Arial" w:cs="Arial"/>
          <w:sz w:val="24"/>
          <w:szCs w:val="24"/>
        </w:rPr>
        <w:t>,</w:t>
      </w:r>
      <w:r>
        <w:rPr>
          <w:rFonts w:ascii="Arial" w:hAnsi="Arial" w:cs="Arial"/>
          <w:sz w:val="24"/>
          <w:szCs w:val="24"/>
        </w:rPr>
        <w:t xml:space="preserve"> για τα 3 πρώτα χρόνια και μετά ανά έτος, προσδιορισμό των βιολογικών δεικτών στο αίμα και στα ούρα. Επιπλέον απεικονιστικός έλεγχος, με αξονική ή μαγνητική τομογραφία, εξαρτάται από τα αποτελέσματα των βιοχημικών εξετάσεων και τα κλινικά ευρήματα.</w:t>
      </w:r>
      <w:r>
        <w:rPr>
          <w:rFonts w:ascii="Arial" w:hAnsi="Arial" w:cs="Arial"/>
          <w:sz w:val="24"/>
          <w:szCs w:val="24"/>
          <w:vertAlign w:val="superscript"/>
        </w:rPr>
        <w:t>33</w:t>
      </w:r>
      <w:r>
        <w:rPr>
          <w:rFonts w:ascii="Arial" w:hAnsi="Arial" w:cs="Arial"/>
          <w:sz w:val="24"/>
          <w:szCs w:val="24"/>
        </w:rPr>
        <w:t xml:space="preserve">  </w:t>
      </w:r>
    </w:p>
    <w:p w:rsidR="00971C23" w:rsidRPr="00E81FBD" w:rsidRDefault="00971C23" w:rsidP="00282816">
      <w:pPr>
        <w:spacing w:line="240" w:lineRule="auto"/>
        <w:jc w:val="both"/>
        <w:rPr>
          <w:rFonts w:ascii="Arial" w:hAnsi="Arial" w:cs="Arial"/>
          <w:sz w:val="24"/>
          <w:szCs w:val="24"/>
        </w:rPr>
      </w:pPr>
    </w:p>
    <w:p w:rsidR="00971C23" w:rsidRDefault="00971C23" w:rsidP="00282816">
      <w:pPr>
        <w:spacing w:line="240" w:lineRule="auto"/>
        <w:jc w:val="both"/>
        <w:rPr>
          <w:rFonts w:ascii="Arial" w:hAnsi="Arial" w:cs="Arial"/>
          <w:b/>
          <w:sz w:val="24"/>
          <w:szCs w:val="24"/>
        </w:rPr>
      </w:pPr>
      <w:r w:rsidRPr="00E81FBD">
        <w:rPr>
          <w:rFonts w:ascii="Arial" w:hAnsi="Arial" w:cs="Arial"/>
          <w:sz w:val="24"/>
          <w:szCs w:val="24"/>
        </w:rPr>
        <w:tab/>
      </w:r>
      <w:r>
        <w:rPr>
          <w:rFonts w:ascii="Arial" w:hAnsi="Arial" w:cs="Arial"/>
          <w:b/>
          <w:sz w:val="24"/>
          <w:szCs w:val="24"/>
        </w:rPr>
        <w:t>ΣΤΡΩ</w:t>
      </w:r>
      <w:r w:rsidR="008A1B55">
        <w:rPr>
          <w:rFonts w:ascii="Arial" w:hAnsi="Arial" w:cs="Arial"/>
          <w:b/>
          <w:sz w:val="24"/>
          <w:szCs w:val="24"/>
        </w:rPr>
        <w:t>ΜΑΤΙΚΟΙ ΟΓΚΟΙ ΤΟΥ ΓΑΣΤΡΕΝΤΕΡΙΚΟΥ</w:t>
      </w:r>
    </w:p>
    <w:p w:rsidR="001A1DDD" w:rsidRPr="00E81FBD" w:rsidRDefault="00971C23" w:rsidP="00282816">
      <w:pPr>
        <w:spacing w:line="240" w:lineRule="auto"/>
        <w:jc w:val="both"/>
        <w:rPr>
          <w:rFonts w:ascii="Arial" w:hAnsi="Arial" w:cs="Arial"/>
          <w:b/>
          <w:sz w:val="20"/>
          <w:szCs w:val="20"/>
        </w:rPr>
      </w:pPr>
      <w:r>
        <w:rPr>
          <w:rFonts w:ascii="Arial" w:hAnsi="Arial" w:cs="Arial"/>
          <w:b/>
          <w:sz w:val="24"/>
          <w:szCs w:val="24"/>
        </w:rPr>
        <w:tab/>
        <w:t>(</w:t>
      </w:r>
      <w:r>
        <w:rPr>
          <w:rFonts w:ascii="Arial" w:hAnsi="Arial" w:cs="Arial"/>
          <w:b/>
          <w:sz w:val="20"/>
          <w:szCs w:val="20"/>
          <w:lang w:val="en-US"/>
        </w:rPr>
        <w:t>GastroIntestinal</w:t>
      </w:r>
      <w:r w:rsidRPr="00E81FBD">
        <w:rPr>
          <w:rFonts w:ascii="Arial" w:hAnsi="Arial" w:cs="Arial"/>
          <w:b/>
          <w:sz w:val="20"/>
          <w:szCs w:val="20"/>
        </w:rPr>
        <w:t xml:space="preserve"> </w:t>
      </w:r>
      <w:r>
        <w:rPr>
          <w:rFonts w:ascii="Arial" w:hAnsi="Arial" w:cs="Arial"/>
          <w:b/>
          <w:sz w:val="20"/>
          <w:szCs w:val="20"/>
          <w:lang w:val="en-US"/>
        </w:rPr>
        <w:t>Stromal</w:t>
      </w:r>
      <w:r w:rsidRPr="00E81FBD">
        <w:rPr>
          <w:rFonts w:ascii="Arial" w:hAnsi="Arial" w:cs="Arial"/>
          <w:b/>
          <w:sz w:val="20"/>
          <w:szCs w:val="20"/>
        </w:rPr>
        <w:t xml:space="preserve"> </w:t>
      </w:r>
      <w:r>
        <w:rPr>
          <w:rFonts w:ascii="Arial" w:hAnsi="Arial" w:cs="Arial"/>
          <w:b/>
          <w:sz w:val="20"/>
          <w:szCs w:val="20"/>
          <w:lang w:val="en-US"/>
        </w:rPr>
        <w:t>Tumors</w:t>
      </w:r>
      <w:r w:rsidRPr="00E81FBD">
        <w:rPr>
          <w:rFonts w:ascii="Arial" w:hAnsi="Arial" w:cs="Arial"/>
          <w:b/>
          <w:sz w:val="20"/>
          <w:szCs w:val="20"/>
        </w:rPr>
        <w:t xml:space="preserve"> – </w:t>
      </w:r>
      <w:r>
        <w:rPr>
          <w:rFonts w:ascii="Arial" w:hAnsi="Arial" w:cs="Arial"/>
          <w:b/>
          <w:sz w:val="20"/>
          <w:szCs w:val="20"/>
          <w:lang w:val="en-US"/>
        </w:rPr>
        <w:t>GIST</w:t>
      </w:r>
      <w:r w:rsidRPr="00E81FBD">
        <w:rPr>
          <w:rFonts w:ascii="Arial" w:hAnsi="Arial" w:cs="Arial"/>
          <w:b/>
          <w:sz w:val="20"/>
          <w:szCs w:val="20"/>
        </w:rPr>
        <w:t>)</w:t>
      </w:r>
    </w:p>
    <w:p w:rsidR="004D3EDC" w:rsidRDefault="001A1DDD" w:rsidP="00282816">
      <w:pPr>
        <w:spacing w:line="240" w:lineRule="auto"/>
        <w:jc w:val="both"/>
        <w:rPr>
          <w:rFonts w:ascii="Arial" w:hAnsi="Arial" w:cs="Arial"/>
          <w:sz w:val="24"/>
          <w:szCs w:val="24"/>
        </w:rPr>
      </w:pPr>
      <w:r w:rsidRPr="00E81FBD">
        <w:rPr>
          <w:rFonts w:ascii="Arial" w:hAnsi="Arial" w:cs="Arial"/>
          <w:b/>
          <w:sz w:val="20"/>
          <w:szCs w:val="20"/>
        </w:rPr>
        <w:tab/>
      </w:r>
      <w:r w:rsidR="00D62408">
        <w:rPr>
          <w:rFonts w:ascii="Arial" w:hAnsi="Arial" w:cs="Arial"/>
          <w:sz w:val="24"/>
          <w:szCs w:val="24"/>
        </w:rPr>
        <w:t xml:space="preserve">Οι στρωματικοί όγκοι του γαστρεντερικού είναι οι πιο συχνοί μεσεγχυματικοί όγκοι του γαστρεντερικού συστήματος, οι οποίοι, σπανίως, μπορεί να εξορμώνται από το μεσεντέριο και το επίπλουν. </w:t>
      </w:r>
    </w:p>
    <w:p w:rsidR="00E06477" w:rsidRDefault="00D62408" w:rsidP="00282816">
      <w:pPr>
        <w:spacing w:line="240" w:lineRule="auto"/>
        <w:jc w:val="both"/>
        <w:rPr>
          <w:rFonts w:ascii="Arial" w:hAnsi="Arial" w:cs="Arial"/>
          <w:sz w:val="24"/>
          <w:szCs w:val="24"/>
        </w:rPr>
      </w:pPr>
      <w:r>
        <w:rPr>
          <w:rFonts w:ascii="Arial" w:hAnsi="Arial" w:cs="Arial"/>
          <w:sz w:val="24"/>
          <w:szCs w:val="24"/>
        </w:rPr>
        <w:t>Αρχικά είχαν ταξινομηθεί ως λειομυώματα και λειομυοσαρκώματα</w:t>
      </w:r>
      <w:r w:rsidR="00B71F33">
        <w:rPr>
          <w:rFonts w:ascii="Arial" w:hAnsi="Arial" w:cs="Arial"/>
          <w:sz w:val="24"/>
          <w:szCs w:val="24"/>
        </w:rPr>
        <w:t>,</w:t>
      </w:r>
      <w:r>
        <w:rPr>
          <w:rFonts w:ascii="Arial" w:hAnsi="Arial" w:cs="Arial"/>
          <w:sz w:val="24"/>
          <w:szCs w:val="24"/>
        </w:rPr>
        <w:t xml:space="preserve"> γιατί εμφάνιζαν χαρακτηριστικά λείων μυ</w:t>
      </w:r>
      <w:r w:rsidR="00123D95">
        <w:rPr>
          <w:rFonts w:ascii="Arial" w:hAnsi="Arial" w:cs="Arial"/>
          <w:sz w:val="24"/>
          <w:szCs w:val="24"/>
        </w:rPr>
        <w:t>ϊκών ινών στην εξέταση στο μικροσκόπιο.</w:t>
      </w:r>
      <w:r w:rsidR="00B71F33">
        <w:rPr>
          <w:rFonts w:ascii="Arial" w:hAnsi="Arial" w:cs="Arial"/>
          <w:sz w:val="24"/>
          <w:szCs w:val="24"/>
        </w:rPr>
        <w:t xml:space="preserve"> Από την εποχή που οι</w:t>
      </w:r>
      <w:r w:rsidR="00B71F33" w:rsidRPr="00B71F33">
        <w:rPr>
          <w:rFonts w:ascii="Arial" w:hAnsi="Arial" w:cs="Arial"/>
          <w:sz w:val="24"/>
          <w:szCs w:val="24"/>
        </w:rPr>
        <w:t xml:space="preserve"> </w:t>
      </w:r>
      <w:r w:rsidR="00B71F33">
        <w:rPr>
          <w:rFonts w:ascii="Arial" w:hAnsi="Arial" w:cs="Arial"/>
          <w:sz w:val="24"/>
          <w:szCs w:val="24"/>
          <w:lang w:val="en-US"/>
        </w:rPr>
        <w:t>Mazur</w:t>
      </w:r>
      <w:r w:rsidR="00B71F33">
        <w:rPr>
          <w:rFonts w:ascii="Arial" w:hAnsi="Arial" w:cs="Arial"/>
          <w:sz w:val="24"/>
          <w:szCs w:val="24"/>
        </w:rPr>
        <w:t xml:space="preserve"> και</w:t>
      </w:r>
      <w:r w:rsidR="00B71F33" w:rsidRPr="00B71F33">
        <w:rPr>
          <w:rFonts w:ascii="Arial" w:hAnsi="Arial" w:cs="Arial"/>
          <w:sz w:val="24"/>
          <w:szCs w:val="24"/>
        </w:rPr>
        <w:t xml:space="preserve"> </w:t>
      </w:r>
      <w:r w:rsidR="00B71F33">
        <w:rPr>
          <w:rFonts w:ascii="Arial" w:hAnsi="Arial" w:cs="Arial"/>
          <w:sz w:val="24"/>
          <w:szCs w:val="24"/>
          <w:lang w:val="en-US"/>
        </w:rPr>
        <w:t>Clark</w:t>
      </w:r>
      <w:r w:rsidR="00B71F33" w:rsidRPr="00B71F33">
        <w:rPr>
          <w:rFonts w:ascii="Arial" w:hAnsi="Arial" w:cs="Arial"/>
          <w:sz w:val="24"/>
          <w:szCs w:val="24"/>
        </w:rPr>
        <w:t xml:space="preserve"> εισ</w:t>
      </w:r>
      <w:r w:rsidR="00B71F33">
        <w:rPr>
          <w:rFonts w:ascii="Arial" w:hAnsi="Arial" w:cs="Arial"/>
          <w:sz w:val="24"/>
          <w:szCs w:val="24"/>
        </w:rPr>
        <w:t>ήγαγαν τον όρο GIST, το 1983, εργαστηριακές μελέτες σε υποκυτταρικό και μοριακό επίπεδο έδειξαν ότι οι όγκοι αυτοί δεν έχουν ανοσοϊστοχημικά χαρακτηριστικά</w:t>
      </w:r>
      <w:r w:rsidR="00BE3B17">
        <w:rPr>
          <w:rFonts w:ascii="Arial" w:hAnsi="Arial" w:cs="Arial"/>
          <w:sz w:val="24"/>
          <w:szCs w:val="24"/>
        </w:rPr>
        <w:t xml:space="preserve"> διαφορο</w:t>
      </w:r>
      <w:r w:rsidR="00B71F33">
        <w:rPr>
          <w:rFonts w:ascii="Arial" w:hAnsi="Arial" w:cs="Arial"/>
          <w:sz w:val="24"/>
          <w:szCs w:val="24"/>
        </w:rPr>
        <w:t>π</w:t>
      </w:r>
      <w:r w:rsidR="00777256">
        <w:rPr>
          <w:rFonts w:ascii="Arial" w:hAnsi="Arial" w:cs="Arial"/>
          <w:sz w:val="24"/>
          <w:szCs w:val="24"/>
        </w:rPr>
        <w:t>ο</w:t>
      </w:r>
      <w:r w:rsidR="00B71F33">
        <w:rPr>
          <w:rFonts w:ascii="Arial" w:hAnsi="Arial" w:cs="Arial"/>
          <w:sz w:val="24"/>
          <w:szCs w:val="24"/>
        </w:rPr>
        <w:t>ίησης των λείων μυϊκών ινών, τα οποία παρατηρούνται στα λειομυώματα και στα λειομυοσαρκώματα.</w:t>
      </w:r>
      <w:r w:rsidR="00661220">
        <w:rPr>
          <w:rFonts w:ascii="Arial" w:hAnsi="Arial" w:cs="Arial"/>
          <w:sz w:val="24"/>
          <w:szCs w:val="24"/>
          <w:vertAlign w:val="superscript"/>
        </w:rPr>
        <w:t>34</w:t>
      </w:r>
      <w:r w:rsidR="00661220">
        <w:rPr>
          <w:rFonts w:ascii="Arial" w:hAnsi="Arial" w:cs="Arial"/>
          <w:sz w:val="24"/>
          <w:szCs w:val="24"/>
        </w:rPr>
        <w:t xml:space="preserve"> </w:t>
      </w:r>
      <w:r w:rsidR="00525747">
        <w:rPr>
          <w:rFonts w:ascii="Arial" w:hAnsi="Arial" w:cs="Arial"/>
          <w:sz w:val="24"/>
          <w:szCs w:val="24"/>
        </w:rPr>
        <w:t>Έτσι, θεωρήθηκε ότι οι στρωματικοί όγκοι του γαστρεντερικού δεν εξορμώνται από τα κύτταρα των λείων μυών, αλλά από άλλα μεσεγχυματικά στοιχεία</w:t>
      </w:r>
      <w:r w:rsidR="00A13583">
        <w:rPr>
          <w:rFonts w:ascii="Arial" w:hAnsi="Arial" w:cs="Arial"/>
          <w:sz w:val="24"/>
          <w:szCs w:val="24"/>
        </w:rPr>
        <w:t xml:space="preserve"> όπως τα ατρακτοειδή και επιθηλιοειδή κύτταρα. Η μελέτη του Kindblom, το 1998, απέδειξε ότι τα κύτταρα από τα οποία εξορμώνται οι GIST είναι κάποια πολυδύναμα μεσεγχυματικά βλαστικά κύτταρα, τα οποία είναι προγραμματισμένα να διαφοροποιηθούν στα διάμεσα κύτταρα του Cajal.</w:t>
      </w:r>
      <w:r w:rsidR="00A32921" w:rsidRPr="00A32921">
        <w:rPr>
          <w:rFonts w:ascii="Arial" w:hAnsi="Arial" w:cs="Arial"/>
          <w:sz w:val="24"/>
          <w:szCs w:val="24"/>
          <w:vertAlign w:val="superscript"/>
        </w:rPr>
        <w:t>35</w:t>
      </w:r>
      <w:r w:rsidR="00D65E18" w:rsidRPr="00D65E18">
        <w:rPr>
          <w:rFonts w:ascii="Arial" w:hAnsi="Arial" w:cs="Arial"/>
          <w:sz w:val="24"/>
          <w:szCs w:val="24"/>
        </w:rPr>
        <w:t xml:space="preserve"> </w:t>
      </w:r>
      <w:r w:rsidR="000B7186">
        <w:rPr>
          <w:rFonts w:ascii="Arial" w:hAnsi="Arial" w:cs="Arial"/>
          <w:sz w:val="24"/>
          <w:szCs w:val="24"/>
        </w:rPr>
        <w:t>Τα κύτταρα αυτά αποτελο</w:t>
      </w:r>
      <w:r w:rsidR="004D3EDC">
        <w:rPr>
          <w:rFonts w:ascii="Arial" w:hAnsi="Arial" w:cs="Arial"/>
          <w:sz w:val="24"/>
          <w:szCs w:val="24"/>
        </w:rPr>
        <w:t>ύν</w:t>
      </w:r>
      <w:r w:rsidR="000B7186">
        <w:rPr>
          <w:rFonts w:ascii="Arial" w:hAnsi="Arial" w:cs="Arial"/>
          <w:sz w:val="24"/>
          <w:szCs w:val="24"/>
        </w:rPr>
        <w:t xml:space="preserve"> το βηματοδότη του πεπτικού σωλήνα και είναι υπεύθυνα για την έναρξη και το συντονισμό της κινητικότητας του γαστρεντερικού. </w:t>
      </w:r>
      <w:r w:rsidR="00181B3D">
        <w:rPr>
          <w:rFonts w:ascii="Arial" w:hAnsi="Arial" w:cs="Arial"/>
          <w:sz w:val="24"/>
          <w:szCs w:val="24"/>
        </w:rPr>
        <w:t xml:space="preserve">Το πιο κρίσιμο σημείο στη μελέτη των </w:t>
      </w:r>
      <w:r w:rsidR="00181B3D">
        <w:rPr>
          <w:rFonts w:ascii="Arial" w:hAnsi="Arial" w:cs="Arial"/>
          <w:sz w:val="24"/>
          <w:szCs w:val="24"/>
        </w:rPr>
        <w:lastRenderedPageBreak/>
        <w:t>όγκων αυτών, το οποίο τους χαρακτηρίζει ως ενιαία κλινική οντότητα, είναι η ανακάλυψη, από τον Hirota το 1998, οτι εμφανίζουν μετάλλαξη του c-kit ογκογονιδίου.</w:t>
      </w:r>
      <w:r w:rsidR="006D4BC7">
        <w:rPr>
          <w:rFonts w:ascii="Arial" w:hAnsi="Arial" w:cs="Arial"/>
          <w:sz w:val="24"/>
          <w:szCs w:val="24"/>
          <w:vertAlign w:val="superscript"/>
        </w:rPr>
        <w:t>36</w:t>
      </w:r>
      <w:r w:rsidR="00B144D7">
        <w:rPr>
          <w:rFonts w:ascii="Arial" w:hAnsi="Arial" w:cs="Arial"/>
          <w:sz w:val="24"/>
          <w:szCs w:val="24"/>
        </w:rPr>
        <w:t xml:space="preserve"> </w:t>
      </w:r>
      <w:r w:rsidR="00E06477" w:rsidRPr="00282816">
        <w:rPr>
          <w:rFonts w:ascii="Arial" w:hAnsi="Arial" w:cs="Arial"/>
          <w:sz w:val="24"/>
          <w:szCs w:val="24"/>
        </w:rPr>
        <w:t xml:space="preserve"> </w:t>
      </w:r>
    </w:p>
    <w:p w:rsidR="004D3EDC" w:rsidRPr="001F5644" w:rsidRDefault="004D3EDC" w:rsidP="00282816">
      <w:pPr>
        <w:spacing w:line="240" w:lineRule="auto"/>
        <w:jc w:val="both"/>
        <w:rPr>
          <w:rFonts w:ascii="Arial" w:hAnsi="Arial" w:cs="Arial"/>
          <w:sz w:val="24"/>
          <w:szCs w:val="24"/>
        </w:rPr>
      </w:pPr>
      <w:r>
        <w:rPr>
          <w:rFonts w:ascii="Arial" w:hAnsi="Arial" w:cs="Arial"/>
          <w:sz w:val="24"/>
          <w:szCs w:val="24"/>
        </w:rPr>
        <w:t>Οι προαναφερθείσες εξελίξεις</w:t>
      </w:r>
      <w:r w:rsidR="005C5050">
        <w:rPr>
          <w:rFonts w:ascii="Arial" w:hAnsi="Arial" w:cs="Arial"/>
          <w:sz w:val="24"/>
          <w:szCs w:val="24"/>
        </w:rPr>
        <w:t xml:space="preserve"> οδήγησαν </w:t>
      </w:r>
      <w:r w:rsidR="00A17FAA">
        <w:rPr>
          <w:rFonts w:ascii="Arial" w:hAnsi="Arial" w:cs="Arial"/>
          <w:sz w:val="24"/>
          <w:szCs w:val="24"/>
        </w:rPr>
        <w:t>στην ταξινόμηση των στρωματικών όγκων του γαστρεντερικού ως μια οντότητα διαφορετική από τους όγκους των λείων μυών, στην αποσαφήνιση της αιτιολογίας και της παθογένεσής τους σε μοριακό επίπεδο και βοήθησαν στην ανάπτυξη μοριακά κατευθυνόμενων θεραπευτικών χειρισμών.</w:t>
      </w:r>
    </w:p>
    <w:p w:rsidR="00E81FBD" w:rsidRDefault="00E81FBD" w:rsidP="00282816">
      <w:pPr>
        <w:spacing w:line="240" w:lineRule="auto"/>
        <w:jc w:val="both"/>
        <w:rPr>
          <w:rFonts w:ascii="Arial" w:hAnsi="Arial" w:cs="Arial"/>
          <w:b/>
          <w:i/>
          <w:sz w:val="24"/>
          <w:szCs w:val="24"/>
        </w:rPr>
      </w:pPr>
      <w:r w:rsidRPr="001F5644">
        <w:rPr>
          <w:rFonts w:ascii="Arial" w:hAnsi="Arial" w:cs="Arial"/>
          <w:sz w:val="24"/>
          <w:szCs w:val="24"/>
        </w:rPr>
        <w:tab/>
      </w:r>
      <w:r>
        <w:rPr>
          <w:rFonts w:ascii="Arial" w:hAnsi="Arial" w:cs="Arial"/>
          <w:b/>
          <w:i/>
          <w:sz w:val="24"/>
          <w:szCs w:val="24"/>
        </w:rPr>
        <w:t>Παθοφυσιολογία</w:t>
      </w:r>
    </w:p>
    <w:p w:rsidR="00E81FBD" w:rsidRDefault="00E81FBD" w:rsidP="00282816">
      <w:pPr>
        <w:spacing w:line="240" w:lineRule="auto"/>
        <w:jc w:val="both"/>
        <w:rPr>
          <w:rFonts w:ascii="Arial" w:hAnsi="Arial" w:cs="Arial"/>
          <w:sz w:val="24"/>
          <w:szCs w:val="24"/>
        </w:rPr>
      </w:pPr>
      <w:r>
        <w:rPr>
          <w:rFonts w:ascii="Arial" w:hAnsi="Arial" w:cs="Arial"/>
          <w:b/>
          <w:i/>
          <w:sz w:val="24"/>
          <w:szCs w:val="24"/>
        </w:rPr>
        <w:tab/>
      </w:r>
      <w:r>
        <w:rPr>
          <w:rFonts w:ascii="Arial" w:hAnsi="Arial" w:cs="Arial"/>
          <w:sz w:val="24"/>
          <w:szCs w:val="24"/>
        </w:rPr>
        <w:t>Οι στρωματικοί όγκοι του γαστρεντερικού είναι υποβλεννογόνιοι όγκοι, οι οποιοι, συνηθέστ</w:t>
      </w:r>
      <w:r w:rsidR="00EF637D">
        <w:rPr>
          <w:rFonts w:ascii="Arial" w:hAnsi="Arial" w:cs="Arial"/>
          <w:sz w:val="24"/>
          <w:szCs w:val="24"/>
        </w:rPr>
        <w:t>ε</w:t>
      </w:r>
      <w:r>
        <w:rPr>
          <w:rFonts w:ascii="Arial" w:hAnsi="Arial" w:cs="Arial"/>
          <w:sz w:val="24"/>
          <w:szCs w:val="24"/>
        </w:rPr>
        <w:t xml:space="preserve">ρα, αναπτύσσονται ενδοφυτικά και παράλληλα με τον αυλό του οργάνου εξόρμησής τους. Δυνατόν, όμως να αναπτύσσονται και ως εξωφυτικοί εξωαυλικοί όγκοι. Το μέγεθός τους ποικίλλει από 1εκ έως και 40 εκ. Το λεπτό έντερο και, κυρίως, η νήστιδα και ο ειλεός αποτελούν τη δεύτερη συχνότερη εντόπιση των όγκων με ποσοστό 20-30%. </w:t>
      </w:r>
      <w:r w:rsidR="00EF637D">
        <w:rPr>
          <w:rFonts w:ascii="Arial" w:hAnsi="Arial" w:cs="Arial"/>
          <w:sz w:val="24"/>
          <w:szCs w:val="24"/>
        </w:rPr>
        <w:t xml:space="preserve">Ο στόμαχος αποτελεί τη συχνότερη εντόπιση με ποσοστό 50-70%, ενώ το παχύ έντερο και ο οισοφάγος αποτελούν σπανιότερες εντοπίσεις με ποσοστά 5-15% και &lt; 5%, αντίστοιχα. </w:t>
      </w:r>
    </w:p>
    <w:p w:rsidR="00EF637D" w:rsidRDefault="00EF637D" w:rsidP="00282816">
      <w:pPr>
        <w:spacing w:line="240" w:lineRule="auto"/>
        <w:jc w:val="both"/>
        <w:rPr>
          <w:rFonts w:ascii="Arial" w:hAnsi="Arial" w:cs="Arial"/>
          <w:b/>
          <w:i/>
          <w:sz w:val="24"/>
          <w:szCs w:val="24"/>
        </w:rPr>
      </w:pPr>
      <w:r>
        <w:rPr>
          <w:rFonts w:ascii="Arial" w:hAnsi="Arial" w:cs="Arial"/>
          <w:sz w:val="24"/>
          <w:szCs w:val="24"/>
        </w:rPr>
        <w:tab/>
      </w:r>
      <w:r>
        <w:rPr>
          <w:rFonts w:ascii="Arial" w:hAnsi="Arial" w:cs="Arial"/>
          <w:b/>
          <w:i/>
          <w:sz w:val="24"/>
          <w:szCs w:val="24"/>
        </w:rPr>
        <w:t>Επιδημιολογικά χαρακτηριστικά</w:t>
      </w:r>
    </w:p>
    <w:p w:rsidR="00EF637D" w:rsidRDefault="00EF637D" w:rsidP="00282816">
      <w:pPr>
        <w:spacing w:line="240" w:lineRule="auto"/>
        <w:jc w:val="both"/>
        <w:rPr>
          <w:rFonts w:ascii="Arial" w:hAnsi="Arial" w:cs="Arial"/>
          <w:sz w:val="24"/>
          <w:szCs w:val="24"/>
        </w:rPr>
      </w:pPr>
      <w:r>
        <w:rPr>
          <w:rFonts w:ascii="Arial" w:hAnsi="Arial" w:cs="Arial"/>
          <w:sz w:val="24"/>
          <w:szCs w:val="24"/>
        </w:rPr>
        <w:tab/>
        <w:t>Η συχνότητα εμφάνισής τους υπολογίζεται σε 10-20 περιπτώσεις ανά εκατομμύριο πληθυσμού. Δεν έχει αναφερθεί διαφορά στην επίπτωση μεταξύ των διαφόρων φυλών, ενώ οι άνδρες φαίνεται να υπερέχουν ελαφρά έναντι των γυναικ</w:t>
      </w:r>
      <w:r w:rsidR="00A21A37">
        <w:rPr>
          <w:rFonts w:ascii="Arial" w:hAnsi="Arial" w:cs="Arial"/>
          <w:sz w:val="24"/>
          <w:szCs w:val="24"/>
        </w:rPr>
        <w:t>ών. Συχνότερα η διάγνωσή τους γίνεται στην ηλικία μεταξύ 55 και 65 ετών και σπανιότερα σε νεότερους ενήλικες, ενώ είναι εξαιρετικά σπάνιοι στην παιδική ηλικία.</w:t>
      </w:r>
    </w:p>
    <w:p w:rsidR="00C17AD4" w:rsidRDefault="00C17AD4" w:rsidP="00282816">
      <w:pPr>
        <w:spacing w:line="240" w:lineRule="auto"/>
        <w:jc w:val="both"/>
        <w:rPr>
          <w:rFonts w:ascii="Arial" w:hAnsi="Arial" w:cs="Arial"/>
          <w:b/>
          <w:i/>
          <w:sz w:val="24"/>
          <w:szCs w:val="24"/>
        </w:rPr>
      </w:pPr>
      <w:r>
        <w:rPr>
          <w:rFonts w:ascii="Arial" w:hAnsi="Arial" w:cs="Arial"/>
          <w:sz w:val="24"/>
          <w:szCs w:val="24"/>
        </w:rPr>
        <w:tab/>
      </w:r>
      <w:r>
        <w:rPr>
          <w:rFonts w:ascii="Arial" w:hAnsi="Arial" w:cs="Arial"/>
          <w:b/>
          <w:i/>
          <w:sz w:val="24"/>
          <w:szCs w:val="24"/>
        </w:rPr>
        <w:t>Κλινικές εκδηλώσεις</w:t>
      </w:r>
    </w:p>
    <w:p w:rsidR="00B521FA" w:rsidRDefault="00B521FA" w:rsidP="00282816">
      <w:pPr>
        <w:spacing w:line="240" w:lineRule="auto"/>
        <w:jc w:val="both"/>
        <w:rPr>
          <w:rFonts w:ascii="Arial" w:hAnsi="Arial" w:cs="Arial"/>
          <w:sz w:val="24"/>
          <w:szCs w:val="24"/>
        </w:rPr>
      </w:pPr>
      <w:r>
        <w:rPr>
          <w:rFonts w:ascii="Arial" w:hAnsi="Arial" w:cs="Arial"/>
          <w:b/>
          <w:i/>
          <w:sz w:val="24"/>
          <w:szCs w:val="24"/>
        </w:rPr>
        <w:tab/>
      </w:r>
      <w:r>
        <w:rPr>
          <w:rFonts w:ascii="Arial" w:hAnsi="Arial" w:cs="Arial"/>
          <w:sz w:val="24"/>
          <w:szCs w:val="24"/>
        </w:rPr>
        <w:t>Ποσοστό μεγαλύτερο του 75% των στρωματικών όγκων του γαστρεντερικού διαγιγνώσκεται όταν το μέγεθός τους είναι &lt;4 εκ και είναι ασυμπτωματικοί ή συνδυάζονται με μη ειδικά συμπτώματα. Η διάγνωση, στην περίπτωση αυτή, γίνεται τυχαία κατά τη διάρκεια ενδοσκοπικού ή ακτινολογικού ελέγχου, που εκτελούνται για την</w:t>
      </w:r>
      <w:r w:rsidR="004B1330">
        <w:rPr>
          <w:rFonts w:ascii="Arial" w:hAnsi="Arial" w:cs="Arial"/>
          <w:sz w:val="24"/>
          <w:szCs w:val="24"/>
        </w:rPr>
        <w:t xml:space="preserve"> ανίχνευση της αιτίας κάποιων εκδηλώσεων από το πεπτικό και κατά τη διάρκεια εκλεκτικών ή επειγουσών επεμβάσεων, λόγω αιμορραγίας ή απόφραξης του πεπτικού σωλήνα.</w:t>
      </w:r>
      <w:r>
        <w:rPr>
          <w:rFonts w:ascii="Arial" w:hAnsi="Arial" w:cs="Arial"/>
          <w:sz w:val="24"/>
          <w:szCs w:val="24"/>
        </w:rPr>
        <w:t xml:space="preserve"> </w:t>
      </w:r>
    </w:p>
    <w:p w:rsidR="004B1330" w:rsidRDefault="004B1330" w:rsidP="00282816">
      <w:pPr>
        <w:spacing w:line="240" w:lineRule="auto"/>
        <w:jc w:val="both"/>
        <w:rPr>
          <w:rFonts w:ascii="Arial" w:hAnsi="Arial" w:cs="Arial"/>
          <w:sz w:val="24"/>
          <w:szCs w:val="24"/>
        </w:rPr>
      </w:pPr>
      <w:r>
        <w:rPr>
          <w:rFonts w:ascii="Arial" w:hAnsi="Arial" w:cs="Arial"/>
          <w:sz w:val="24"/>
          <w:szCs w:val="24"/>
        </w:rPr>
        <w:t>Όγκοι μεγαλύτεροι των 4 εκ είναι</w:t>
      </w:r>
      <w:r w:rsidR="00F13C8D">
        <w:rPr>
          <w:rFonts w:ascii="Arial" w:hAnsi="Arial" w:cs="Arial"/>
          <w:sz w:val="24"/>
          <w:szCs w:val="24"/>
        </w:rPr>
        <w:t>,</w:t>
      </w:r>
      <w:r>
        <w:rPr>
          <w:rFonts w:ascii="Arial" w:hAnsi="Arial" w:cs="Arial"/>
          <w:sz w:val="24"/>
          <w:szCs w:val="24"/>
        </w:rPr>
        <w:t xml:space="preserve"> συνήθως</w:t>
      </w:r>
      <w:r w:rsidR="00F13C8D">
        <w:rPr>
          <w:rFonts w:ascii="Arial" w:hAnsi="Arial" w:cs="Arial"/>
          <w:sz w:val="24"/>
          <w:szCs w:val="24"/>
        </w:rPr>
        <w:t>,</w:t>
      </w:r>
      <w:r>
        <w:rPr>
          <w:rFonts w:ascii="Arial" w:hAnsi="Arial" w:cs="Arial"/>
          <w:sz w:val="24"/>
          <w:szCs w:val="24"/>
        </w:rPr>
        <w:t xml:space="preserve"> συμπτωματικοί και το συνηθέστερο σύμπτωμα είναι ασαφές, μη ειδικό κοιλιακό άλγος ή δυσφορία.</w:t>
      </w:r>
      <w:r w:rsidR="00FB34AD">
        <w:rPr>
          <w:rFonts w:ascii="Arial" w:hAnsi="Arial" w:cs="Arial"/>
          <w:sz w:val="24"/>
          <w:szCs w:val="24"/>
        </w:rPr>
        <w:t xml:space="preserve"> Άλλα συμπτώματα των ασθενών αποτελούν ο πρώϊμος κορεσμός ή αίσθημα κοιλιακής πληρότητας. Σπανίως, διαπιστώνεται η παρουσία ψηλαφητής κοιλιακής μάζας. Τέλος, οι στρωματικοί όγκοι δυνατό να προκαλέσουν συμπτώματα δευτερογενή της απόφραξης ή της αιμορραγίας. Η αιμορραγία προκαλείται από ισχαιμική νέκρωση και εξέλκωση του υπερκείμενου βλεννογόνου, ενώ η απόφραξη προκαλείται από την ενδοαυλική </w:t>
      </w:r>
      <w:r w:rsidR="00E64763">
        <w:rPr>
          <w:rFonts w:ascii="Arial" w:hAnsi="Arial" w:cs="Arial"/>
          <w:sz w:val="24"/>
          <w:szCs w:val="24"/>
        </w:rPr>
        <w:t>ανάπτυξη ενός ενδοφυτικού όγκου ή από την εξωαυλική πίεση ενός εξωφυτικού όγκου.</w:t>
      </w:r>
    </w:p>
    <w:p w:rsidR="007705A4" w:rsidRDefault="009D2639" w:rsidP="00282816">
      <w:pPr>
        <w:spacing w:line="240" w:lineRule="auto"/>
        <w:jc w:val="both"/>
        <w:rPr>
          <w:rFonts w:ascii="Arial" w:hAnsi="Arial" w:cs="Arial"/>
          <w:sz w:val="24"/>
          <w:szCs w:val="24"/>
        </w:rPr>
      </w:pPr>
      <w:r>
        <w:rPr>
          <w:rFonts w:ascii="Arial" w:hAnsi="Arial" w:cs="Arial"/>
          <w:sz w:val="24"/>
          <w:szCs w:val="24"/>
        </w:rPr>
        <w:tab/>
      </w:r>
    </w:p>
    <w:p w:rsidR="009D2639" w:rsidRDefault="009D2639" w:rsidP="007705A4">
      <w:pPr>
        <w:spacing w:line="240" w:lineRule="auto"/>
        <w:ind w:firstLine="720"/>
        <w:jc w:val="both"/>
        <w:rPr>
          <w:rFonts w:ascii="Arial" w:hAnsi="Arial" w:cs="Arial"/>
          <w:b/>
          <w:i/>
          <w:sz w:val="24"/>
          <w:szCs w:val="24"/>
        </w:rPr>
      </w:pPr>
      <w:r>
        <w:rPr>
          <w:rFonts w:ascii="Arial" w:hAnsi="Arial" w:cs="Arial"/>
          <w:b/>
          <w:i/>
          <w:sz w:val="24"/>
          <w:szCs w:val="24"/>
        </w:rPr>
        <w:lastRenderedPageBreak/>
        <w:t>Κλινικά σημεία</w:t>
      </w:r>
    </w:p>
    <w:p w:rsidR="009D2639" w:rsidRDefault="009D2639" w:rsidP="00282816">
      <w:pPr>
        <w:spacing w:line="240" w:lineRule="auto"/>
        <w:jc w:val="both"/>
        <w:rPr>
          <w:rFonts w:ascii="Arial" w:hAnsi="Arial" w:cs="Arial"/>
          <w:sz w:val="24"/>
          <w:szCs w:val="24"/>
        </w:rPr>
      </w:pPr>
      <w:r>
        <w:rPr>
          <w:rFonts w:ascii="Arial" w:hAnsi="Arial" w:cs="Arial"/>
          <w:b/>
          <w:i/>
          <w:sz w:val="24"/>
          <w:szCs w:val="24"/>
        </w:rPr>
        <w:tab/>
      </w:r>
      <w:r>
        <w:rPr>
          <w:rFonts w:ascii="Arial" w:hAnsi="Arial" w:cs="Arial"/>
          <w:sz w:val="24"/>
          <w:szCs w:val="24"/>
        </w:rPr>
        <w:t xml:space="preserve">Δεν υπάρχουν ειδικά κλινικά σημεία, διαγνωστικά της παρουσίας των εν λόγω όγκων. </w:t>
      </w:r>
    </w:p>
    <w:p w:rsidR="009D2639" w:rsidRDefault="009D2639" w:rsidP="00282816">
      <w:pPr>
        <w:spacing w:line="240" w:lineRule="auto"/>
        <w:jc w:val="both"/>
        <w:rPr>
          <w:rFonts w:ascii="Arial" w:hAnsi="Arial" w:cs="Arial"/>
          <w:sz w:val="24"/>
          <w:szCs w:val="24"/>
        </w:rPr>
      </w:pPr>
      <w:r>
        <w:rPr>
          <w:rFonts w:ascii="Arial" w:hAnsi="Arial" w:cs="Arial"/>
          <w:sz w:val="24"/>
          <w:szCs w:val="24"/>
        </w:rPr>
        <w:t>Μερικοί ασθενείς εμφανίζονται με ψηλαφητή ενδοκοιλιακή μάζα και άλλοι με μη ειδικά κλινικά ευρήματα, τα οποία συνδυάζονται με την απώλεια αίματος από το πεπτικό, την απόφραξη ή τη διάτρηση του εντέρου και το σχηματισμό αποστήματος.</w:t>
      </w:r>
    </w:p>
    <w:p w:rsidR="00C85C03" w:rsidRDefault="00C85C03" w:rsidP="003E071D">
      <w:pPr>
        <w:pStyle w:val="ListParagraph"/>
        <w:numPr>
          <w:ilvl w:val="0"/>
          <w:numId w:val="14"/>
        </w:numPr>
        <w:spacing w:line="240" w:lineRule="auto"/>
        <w:jc w:val="both"/>
        <w:rPr>
          <w:rFonts w:ascii="Arial" w:hAnsi="Arial" w:cs="Arial"/>
          <w:sz w:val="24"/>
          <w:szCs w:val="24"/>
        </w:rPr>
      </w:pPr>
      <w:r>
        <w:rPr>
          <w:rFonts w:ascii="Arial" w:hAnsi="Arial" w:cs="Arial"/>
          <w:sz w:val="24"/>
          <w:szCs w:val="24"/>
        </w:rPr>
        <w:t xml:space="preserve">Οι ασθενείς με απώλεια αίματος εμφανίζουν επηρεασμό των ζωτικών σημείων ή, σε σοβαρότερες περιπτώσεις, σημεία shock. Σε ηπιότερου βαθμού απώλεια αίματος διαπιστώνεται θετικό το </w:t>
      </w:r>
      <w:r>
        <w:rPr>
          <w:rFonts w:ascii="Arial" w:hAnsi="Arial" w:cs="Arial"/>
          <w:sz w:val="24"/>
          <w:szCs w:val="24"/>
          <w:lang w:val="en-US"/>
        </w:rPr>
        <w:t>test</w:t>
      </w:r>
      <w:r w:rsidRPr="00C85C03">
        <w:rPr>
          <w:rFonts w:ascii="Arial" w:hAnsi="Arial" w:cs="Arial"/>
          <w:sz w:val="24"/>
          <w:szCs w:val="24"/>
        </w:rPr>
        <w:t xml:space="preserve"> μικροσκοπικ</w:t>
      </w:r>
      <w:r>
        <w:rPr>
          <w:rFonts w:ascii="Arial" w:hAnsi="Arial" w:cs="Arial"/>
          <w:sz w:val="24"/>
          <w:szCs w:val="24"/>
        </w:rPr>
        <w:t>ής αιμορραγίας του πεπτικού.</w:t>
      </w:r>
    </w:p>
    <w:p w:rsidR="00C85C03" w:rsidRDefault="00C85C03" w:rsidP="003E071D">
      <w:pPr>
        <w:pStyle w:val="ListParagraph"/>
        <w:numPr>
          <w:ilvl w:val="0"/>
          <w:numId w:val="14"/>
        </w:numPr>
        <w:spacing w:line="240" w:lineRule="auto"/>
        <w:jc w:val="both"/>
        <w:rPr>
          <w:rFonts w:ascii="Arial" w:hAnsi="Arial" w:cs="Arial"/>
          <w:sz w:val="24"/>
          <w:szCs w:val="24"/>
        </w:rPr>
      </w:pPr>
      <w:r>
        <w:rPr>
          <w:rFonts w:ascii="Arial" w:hAnsi="Arial" w:cs="Arial"/>
          <w:sz w:val="24"/>
          <w:szCs w:val="24"/>
        </w:rPr>
        <w:t>Οι ασθενείς με απόφραξη του λεπτού εντέρου εμφανίζουν μετεωρισμό της κοιλίας και ευαισθησία στην ψηλάφηση. Σε περίπτωση απόφραξης του 12/δακτύλου, που περιλαμβάνει και το φύμα του Vater, δυνατό να εμφανισθεί ίκτερος και, σπανίως, η χοληδόχος κύστη είναι διατεταμένη και ψηλαφητή.</w:t>
      </w:r>
    </w:p>
    <w:p w:rsidR="00B87064" w:rsidRDefault="00B87064" w:rsidP="003E071D">
      <w:pPr>
        <w:pStyle w:val="ListParagraph"/>
        <w:numPr>
          <w:ilvl w:val="0"/>
          <w:numId w:val="14"/>
        </w:numPr>
        <w:spacing w:line="240" w:lineRule="auto"/>
        <w:jc w:val="both"/>
        <w:rPr>
          <w:rFonts w:ascii="Arial" w:hAnsi="Arial" w:cs="Arial"/>
          <w:sz w:val="24"/>
          <w:szCs w:val="24"/>
        </w:rPr>
      </w:pPr>
      <w:r>
        <w:rPr>
          <w:rFonts w:ascii="Arial" w:hAnsi="Arial" w:cs="Arial"/>
          <w:sz w:val="24"/>
          <w:szCs w:val="24"/>
        </w:rPr>
        <w:t>Οι ασθενείς με διάτρηση του εντέρου εμφανίζουν σημεία εντοπισμένης ή διάχυτης περιτονίτιδος.</w:t>
      </w:r>
    </w:p>
    <w:p w:rsidR="00B87064" w:rsidRDefault="00B87064" w:rsidP="00B87064">
      <w:pPr>
        <w:spacing w:line="240" w:lineRule="auto"/>
        <w:ind w:left="728"/>
        <w:jc w:val="both"/>
        <w:rPr>
          <w:rFonts w:ascii="Arial" w:hAnsi="Arial" w:cs="Arial"/>
          <w:b/>
          <w:i/>
          <w:sz w:val="24"/>
          <w:szCs w:val="24"/>
        </w:rPr>
      </w:pPr>
      <w:r>
        <w:rPr>
          <w:rFonts w:ascii="Arial" w:hAnsi="Arial" w:cs="Arial"/>
          <w:b/>
          <w:i/>
          <w:sz w:val="24"/>
          <w:szCs w:val="24"/>
        </w:rPr>
        <w:t>Α</w:t>
      </w:r>
      <w:r w:rsidR="001F5644">
        <w:rPr>
          <w:rFonts w:ascii="Arial" w:hAnsi="Arial" w:cs="Arial"/>
          <w:b/>
          <w:i/>
          <w:sz w:val="24"/>
          <w:szCs w:val="24"/>
        </w:rPr>
        <w:t>ιτιολογία</w:t>
      </w:r>
    </w:p>
    <w:p w:rsidR="00100622" w:rsidRDefault="001F5644" w:rsidP="00B87064">
      <w:pPr>
        <w:spacing w:line="240" w:lineRule="auto"/>
        <w:ind w:left="728"/>
        <w:jc w:val="both"/>
        <w:rPr>
          <w:rFonts w:ascii="Arial" w:hAnsi="Arial" w:cs="Arial"/>
          <w:sz w:val="24"/>
          <w:szCs w:val="24"/>
        </w:rPr>
      </w:pPr>
      <w:r>
        <w:rPr>
          <w:rFonts w:ascii="Arial" w:hAnsi="Arial" w:cs="Arial"/>
          <w:sz w:val="24"/>
          <w:szCs w:val="24"/>
        </w:rPr>
        <w:t>Οι περισσότεροι στρωματικοί όγκοι του γαστρεντερικού συνδ</w:t>
      </w:r>
      <w:r w:rsidR="00100622">
        <w:rPr>
          <w:rFonts w:ascii="Arial" w:hAnsi="Arial" w:cs="Arial"/>
          <w:sz w:val="24"/>
          <w:szCs w:val="24"/>
        </w:rPr>
        <w:t>έονται με</w:t>
      </w:r>
    </w:p>
    <w:p w:rsidR="00C56CA2" w:rsidRDefault="001F5644" w:rsidP="00100622">
      <w:pPr>
        <w:spacing w:line="240" w:lineRule="auto"/>
        <w:jc w:val="both"/>
        <w:rPr>
          <w:rFonts w:ascii="Arial" w:hAnsi="Arial" w:cs="Arial"/>
          <w:sz w:val="24"/>
          <w:szCs w:val="24"/>
        </w:rPr>
      </w:pPr>
      <w:r>
        <w:rPr>
          <w:rFonts w:ascii="Arial" w:hAnsi="Arial" w:cs="Arial"/>
          <w:sz w:val="24"/>
          <w:szCs w:val="24"/>
        </w:rPr>
        <w:t>μετάλλαξη</w:t>
      </w:r>
      <w:r w:rsidRPr="001F5644">
        <w:rPr>
          <w:rFonts w:ascii="Arial" w:hAnsi="Arial" w:cs="Arial"/>
          <w:sz w:val="24"/>
          <w:szCs w:val="24"/>
        </w:rPr>
        <w:t xml:space="preserve"> στο εξ</w:t>
      </w:r>
      <w:r>
        <w:rPr>
          <w:rFonts w:ascii="Arial" w:hAnsi="Arial" w:cs="Arial"/>
          <w:sz w:val="24"/>
          <w:szCs w:val="24"/>
        </w:rPr>
        <w:t>όνιο11 του πρωτο-ογκογονιδίου c-kit</w:t>
      </w:r>
      <w:r w:rsidR="00100622">
        <w:rPr>
          <w:rFonts w:ascii="Arial" w:hAnsi="Arial" w:cs="Arial"/>
          <w:sz w:val="24"/>
          <w:szCs w:val="24"/>
        </w:rPr>
        <w:t>, το οποίο βρίσκεται στο χρωμοσωμιακό σκέλος 4</w:t>
      </w:r>
      <w:r w:rsidR="002A6AB4">
        <w:rPr>
          <w:rFonts w:ascii="Arial" w:hAnsi="Arial" w:cs="Arial"/>
          <w:sz w:val="24"/>
          <w:szCs w:val="24"/>
        </w:rPr>
        <w:t>q11-12</w:t>
      </w:r>
      <w:r w:rsidR="002C384B">
        <w:rPr>
          <w:rFonts w:ascii="Arial" w:hAnsi="Arial" w:cs="Arial"/>
          <w:sz w:val="24"/>
          <w:szCs w:val="24"/>
        </w:rPr>
        <w:t xml:space="preserve">, </w:t>
      </w:r>
      <w:r w:rsidR="002A6AB4">
        <w:rPr>
          <w:rFonts w:ascii="Arial" w:hAnsi="Arial" w:cs="Arial"/>
          <w:sz w:val="24"/>
          <w:szCs w:val="24"/>
        </w:rPr>
        <w:t>προκαλώντας ενεργοποίηση της</w:t>
      </w:r>
      <w:r w:rsidR="00100622">
        <w:rPr>
          <w:rFonts w:ascii="Arial" w:hAnsi="Arial" w:cs="Arial"/>
          <w:sz w:val="24"/>
          <w:szCs w:val="24"/>
        </w:rPr>
        <w:t xml:space="preserve"> μεμβρανική</w:t>
      </w:r>
      <w:r w:rsidR="002A6AB4">
        <w:rPr>
          <w:rFonts w:ascii="Arial" w:hAnsi="Arial" w:cs="Arial"/>
          <w:sz w:val="24"/>
          <w:szCs w:val="24"/>
        </w:rPr>
        <w:t>ς</w:t>
      </w:r>
      <w:r w:rsidR="00100622">
        <w:rPr>
          <w:rFonts w:ascii="Arial" w:hAnsi="Arial" w:cs="Arial"/>
          <w:sz w:val="24"/>
          <w:szCs w:val="24"/>
        </w:rPr>
        <w:t xml:space="preserve"> κινάση</w:t>
      </w:r>
      <w:r w:rsidR="002A6AB4">
        <w:rPr>
          <w:rFonts w:ascii="Arial" w:hAnsi="Arial" w:cs="Arial"/>
          <w:sz w:val="24"/>
          <w:szCs w:val="24"/>
        </w:rPr>
        <w:t>ς</w:t>
      </w:r>
      <w:r w:rsidR="00100622">
        <w:rPr>
          <w:rFonts w:ascii="Arial" w:hAnsi="Arial" w:cs="Arial"/>
          <w:sz w:val="24"/>
          <w:szCs w:val="24"/>
        </w:rPr>
        <w:t xml:space="preserve"> της τυροσίνης. Η μετάλλαξη οδηγεί σε υπερέκφραση και αυτοφωσφορυλίωση του ογκογονιδίου, η οποία προκαλεί την ενεργοποίηση ενός καταρράκτη ενδοκυτταρίων μηνυμάτων, </w:t>
      </w:r>
      <w:r w:rsidR="00C56CA2">
        <w:rPr>
          <w:rFonts w:ascii="Arial" w:hAnsi="Arial" w:cs="Arial"/>
          <w:sz w:val="24"/>
          <w:szCs w:val="24"/>
        </w:rPr>
        <w:t>τα οποία, με τη σειρά τους, προάγουν τον κυτταρικό πολλαπλασιασμό ή/και αναστέλλουν τους μηχανισμούς απόπτωσης των κυττάρων.</w:t>
      </w:r>
    </w:p>
    <w:p w:rsidR="001F5644" w:rsidRDefault="00C56CA2" w:rsidP="00100622">
      <w:pPr>
        <w:spacing w:line="240" w:lineRule="auto"/>
        <w:jc w:val="both"/>
        <w:rPr>
          <w:rFonts w:ascii="Arial" w:hAnsi="Arial" w:cs="Arial"/>
          <w:sz w:val="24"/>
          <w:szCs w:val="24"/>
        </w:rPr>
      </w:pPr>
      <w:r>
        <w:rPr>
          <w:rFonts w:ascii="Arial" w:hAnsi="Arial" w:cs="Arial"/>
          <w:sz w:val="24"/>
          <w:szCs w:val="24"/>
        </w:rPr>
        <w:t>Έχει αναφερθεί μικρό ποσοστό στρωματικών όγκων με αρνητικό c-kit, στους οπο</w:t>
      </w:r>
      <w:r w:rsidR="00B137BF">
        <w:rPr>
          <w:rFonts w:ascii="Arial" w:hAnsi="Arial" w:cs="Arial"/>
          <w:sz w:val="24"/>
          <w:szCs w:val="24"/>
        </w:rPr>
        <w:t>ίους παρατηρή</w:t>
      </w:r>
      <w:r>
        <w:rPr>
          <w:rFonts w:ascii="Arial" w:hAnsi="Arial" w:cs="Arial"/>
          <w:sz w:val="24"/>
          <w:szCs w:val="24"/>
        </w:rPr>
        <w:t xml:space="preserve">θηκε μετάλλαξη στον υποδοχέα άλφα του αυξητικού παράγοντα των αιμοπεταλίων και της πρωτεϊνικής κινάσης C. </w:t>
      </w:r>
    </w:p>
    <w:p w:rsidR="00D64DC9" w:rsidRDefault="00D64DC9" w:rsidP="00100622">
      <w:pPr>
        <w:spacing w:line="240" w:lineRule="auto"/>
        <w:jc w:val="both"/>
        <w:rPr>
          <w:rFonts w:ascii="Arial" w:hAnsi="Arial" w:cs="Arial"/>
          <w:sz w:val="24"/>
          <w:szCs w:val="24"/>
        </w:rPr>
      </w:pPr>
      <w:r>
        <w:rPr>
          <w:rFonts w:ascii="Arial" w:hAnsi="Arial" w:cs="Arial"/>
          <w:sz w:val="24"/>
          <w:szCs w:val="24"/>
        </w:rPr>
        <w:t xml:space="preserve">Τέλος, ένας μικρός αριθμός όγκων GIST </w:t>
      </w:r>
      <w:r w:rsidRPr="00D64DC9">
        <w:rPr>
          <w:rFonts w:ascii="Arial" w:hAnsi="Arial" w:cs="Arial"/>
          <w:sz w:val="24"/>
          <w:szCs w:val="24"/>
        </w:rPr>
        <w:t>αποτελε</w:t>
      </w:r>
      <w:r>
        <w:rPr>
          <w:rFonts w:ascii="Arial" w:hAnsi="Arial" w:cs="Arial"/>
          <w:sz w:val="24"/>
          <w:szCs w:val="24"/>
        </w:rPr>
        <w:t>ί τμήμα κληρονομικών συνδρόμων:</w:t>
      </w:r>
    </w:p>
    <w:p w:rsidR="00D64DC9" w:rsidRDefault="00D64DC9" w:rsidP="003E071D">
      <w:pPr>
        <w:pStyle w:val="ListParagraph"/>
        <w:numPr>
          <w:ilvl w:val="0"/>
          <w:numId w:val="15"/>
        </w:numPr>
        <w:spacing w:line="240" w:lineRule="auto"/>
        <w:jc w:val="both"/>
        <w:rPr>
          <w:rFonts w:ascii="Arial" w:hAnsi="Arial" w:cs="Arial"/>
          <w:sz w:val="24"/>
          <w:szCs w:val="24"/>
        </w:rPr>
      </w:pPr>
      <w:r>
        <w:rPr>
          <w:rFonts w:ascii="Arial" w:hAnsi="Arial" w:cs="Arial"/>
          <w:sz w:val="24"/>
          <w:szCs w:val="24"/>
        </w:rPr>
        <w:t>Ένα από αυτά χαρακτηρίζεται από την παρουσία πολλαπλών στρωματικών όγκων σε συνδυασμό με ή χωρίς δερματικ</w:t>
      </w:r>
      <w:r w:rsidR="005B4502">
        <w:rPr>
          <w:rFonts w:ascii="Arial" w:hAnsi="Arial" w:cs="Arial"/>
          <w:sz w:val="24"/>
          <w:szCs w:val="24"/>
        </w:rPr>
        <w:t>ή</w:t>
      </w:r>
      <w:r>
        <w:rPr>
          <w:rFonts w:ascii="Arial" w:hAnsi="Arial" w:cs="Arial"/>
          <w:sz w:val="24"/>
          <w:szCs w:val="24"/>
        </w:rPr>
        <w:t xml:space="preserve"> και βλεννογονικ</w:t>
      </w:r>
      <w:r w:rsidR="005B4502">
        <w:rPr>
          <w:rFonts w:ascii="Arial" w:hAnsi="Arial" w:cs="Arial"/>
          <w:sz w:val="24"/>
          <w:szCs w:val="24"/>
        </w:rPr>
        <w:t>ή</w:t>
      </w:r>
      <w:r>
        <w:rPr>
          <w:rFonts w:ascii="Arial" w:hAnsi="Arial" w:cs="Arial"/>
          <w:sz w:val="24"/>
          <w:szCs w:val="24"/>
        </w:rPr>
        <w:t xml:space="preserve"> υπ</w:t>
      </w:r>
      <w:r w:rsidR="005B4502">
        <w:rPr>
          <w:rFonts w:ascii="Arial" w:hAnsi="Arial" w:cs="Arial"/>
          <w:sz w:val="24"/>
          <w:szCs w:val="24"/>
        </w:rPr>
        <w:t>έρχρωση</w:t>
      </w:r>
      <w:r>
        <w:rPr>
          <w:rFonts w:ascii="Arial" w:hAnsi="Arial" w:cs="Arial"/>
          <w:sz w:val="24"/>
          <w:szCs w:val="24"/>
        </w:rPr>
        <w:t>, δημιουργ</w:t>
      </w:r>
      <w:r w:rsidR="005B4502">
        <w:rPr>
          <w:rFonts w:ascii="Arial" w:hAnsi="Arial" w:cs="Arial"/>
          <w:sz w:val="24"/>
          <w:szCs w:val="24"/>
        </w:rPr>
        <w:t>ία</w:t>
      </w:r>
      <w:r>
        <w:rPr>
          <w:rFonts w:ascii="Arial" w:hAnsi="Arial" w:cs="Arial"/>
          <w:sz w:val="24"/>
          <w:szCs w:val="24"/>
        </w:rPr>
        <w:t xml:space="preserve"> πολλαπλών μελαγχρωματικών σπίλων</w:t>
      </w:r>
      <w:r w:rsidR="005B4502">
        <w:rPr>
          <w:rFonts w:ascii="Arial" w:hAnsi="Arial" w:cs="Arial"/>
          <w:sz w:val="24"/>
          <w:szCs w:val="24"/>
        </w:rPr>
        <w:t xml:space="preserve"> και χρωστική κνίδωση. Άλλες εκδηλώσεις του συνδρόμου αποτελούν η δυσλειτουργία των βλαστικών κυττάρων και η διάχυτη υπερπλασία των ατρακτοειδών κυττάρων του γαστρεντερικού.</w:t>
      </w:r>
    </w:p>
    <w:p w:rsidR="005B4502" w:rsidRDefault="005B4502" w:rsidP="003E071D">
      <w:pPr>
        <w:pStyle w:val="ListParagraph"/>
        <w:numPr>
          <w:ilvl w:val="0"/>
          <w:numId w:val="15"/>
        </w:numPr>
        <w:spacing w:line="240" w:lineRule="auto"/>
        <w:jc w:val="both"/>
        <w:rPr>
          <w:rFonts w:ascii="Arial" w:hAnsi="Arial" w:cs="Arial"/>
          <w:sz w:val="24"/>
          <w:szCs w:val="24"/>
        </w:rPr>
      </w:pPr>
      <w:r>
        <w:rPr>
          <w:rFonts w:ascii="Arial" w:hAnsi="Arial" w:cs="Arial"/>
          <w:sz w:val="24"/>
          <w:szCs w:val="24"/>
        </w:rPr>
        <w:t>Στρωματικοί όγκοι του γαστρεντερικού εμφανίζονται, με συχνότητα μεγαλύτερη του αναμενομένου, σε ασθενείς με νευροϊνωμάτωση τύπου 1.</w:t>
      </w:r>
    </w:p>
    <w:p w:rsidR="00A34516" w:rsidRDefault="005B4502" w:rsidP="003E071D">
      <w:pPr>
        <w:pStyle w:val="ListParagraph"/>
        <w:numPr>
          <w:ilvl w:val="0"/>
          <w:numId w:val="15"/>
        </w:numPr>
        <w:spacing w:line="240" w:lineRule="auto"/>
        <w:jc w:val="both"/>
        <w:rPr>
          <w:rFonts w:ascii="Arial" w:hAnsi="Arial" w:cs="Arial"/>
          <w:sz w:val="24"/>
          <w:szCs w:val="24"/>
        </w:rPr>
      </w:pPr>
      <w:r>
        <w:rPr>
          <w:rFonts w:ascii="Arial" w:hAnsi="Arial" w:cs="Arial"/>
          <w:sz w:val="24"/>
          <w:szCs w:val="24"/>
        </w:rPr>
        <w:lastRenderedPageBreak/>
        <w:t>Τέλος, οι εν λόγω όγκοι αποτελούν στοιχείο της σπάνιας τριάδας του Camey, η οποία παρατηρείται, κυρίως, σε νεαρές γυναίκες.</w:t>
      </w:r>
      <w:r w:rsidR="00A34516">
        <w:rPr>
          <w:rFonts w:ascii="Arial" w:hAnsi="Arial" w:cs="Arial"/>
          <w:sz w:val="24"/>
          <w:szCs w:val="24"/>
        </w:rPr>
        <w:t xml:space="preserve"> Η τριάδα περιλαμβάνει επιθηλιοειδείς γαστρικούς στρωματικούς όγκους, πνευμονικά χονδρώματα και εξω-επινεφριδιακά παραγαγγλιώματα.</w:t>
      </w:r>
    </w:p>
    <w:p w:rsidR="006B0D5D" w:rsidRDefault="00A34516" w:rsidP="00A34516">
      <w:pPr>
        <w:spacing w:line="240" w:lineRule="auto"/>
        <w:ind w:left="728"/>
        <w:jc w:val="both"/>
        <w:rPr>
          <w:rFonts w:ascii="Arial" w:hAnsi="Arial" w:cs="Arial"/>
          <w:b/>
          <w:i/>
          <w:sz w:val="24"/>
          <w:szCs w:val="24"/>
        </w:rPr>
      </w:pPr>
      <w:r>
        <w:rPr>
          <w:rFonts w:ascii="Arial" w:hAnsi="Arial" w:cs="Arial"/>
          <w:b/>
          <w:i/>
          <w:sz w:val="24"/>
          <w:szCs w:val="24"/>
        </w:rPr>
        <w:t>Παρακλινικός Έλεγχος</w:t>
      </w:r>
    </w:p>
    <w:p w:rsidR="0090168D" w:rsidRDefault="006B0D5D" w:rsidP="00A34516">
      <w:pPr>
        <w:spacing w:line="240" w:lineRule="auto"/>
        <w:ind w:left="728"/>
        <w:jc w:val="both"/>
        <w:rPr>
          <w:rFonts w:ascii="Arial" w:hAnsi="Arial" w:cs="Arial"/>
          <w:sz w:val="24"/>
          <w:szCs w:val="24"/>
        </w:rPr>
      </w:pPr>
      <w:r>
        <w:rPr>
          <w:rFonts w:ascii="Arial" w:hAnsi="Arial" w:cs="Arial"/>
          <w:sz w:val="24"/>
          <w:szCs w:val="24"/>
          <w:u w:val="single"/>
        </w:rPr>
        <w:t>Εργαστηριακές</w:t>
      </w:r>
      <w:r w:rsidRPr="00897F14">
        <w:rPr>
          <w:rFonts w:ascii="Arial" w:hAnsi="Arial" w:cs="Arial"/>
          <w:sz w:val="24"/>
          <w:szCs w:val="24"/>
          <w:u w:val="single"/>
        </w:rPr>
        <w:t xml:space="preserve"> </w:t>
      </w:r>
      <w:r>
        <w:rPr>
          <w:rFonts w:ascii="Arial" w:hAnsi="Arial" w:cs="Arial"/>
          <w:sz w:val="24"/>
          <w:szCs w:val="24"/>
          <w:u w:val="single"/>
        </w:rPr>
        <w:t>Εξετάσεις</w:t>
      </w:r>
      <w:r w:rsidRPr="00897F14">
        <w:rPr>
          <w:rFonts w:ascii="Arial" w:hAnsi="Arial" w:cs="Arial"/>
          <w:sz w:val="24"/>
          <w:szCs w:val="24"/>
        </w:rPr>
        <w:t>.</w:t>
      </w:r>
      <w:r>
        <w:rPr>
          <w:rFonts w:ascii="Arial" w:hAnsi="Arial" w:cs="Arial"/>
          <w:sz w:val="24"/>
          <w:szCs w:val="24"/>
        </w:rPr>
        <w:t xml:space="preserve"> </w:t>
      </w:r>
      <w:r w:rsidR="00897F14">
        <w:rPr>
          <w:rFonts w:ascii="Arial" w:hAnsi="Arial" w:cs="Arial"/>
          <w:sz w:val="24"/>
          <w:szCs w:val="24"/>
        </w:rPr>
        <w:t>Δεν υπάρχουν εργαστηριακές εξετ</w:t>
      </w:r>
      <w:r w:rsidR="0090168D">
        <w:rPr>
          <w:rFonts w:ascii="Arial" w:hAnsi="Arial" w:cs="Arial"/>
          <w:sz w:val="24"/>
          <w:szCs w:val="24"/>
        </w:rPr>
        <w:t>άσεις, οι</w:t>
      </w:r>
    </w:p>
    <w:p w:rsidR="005B4502" w:rsidRDefault="00897F14" w:rsidP="0090168D">
      <w:pPr>
        <w:spacing w:line="240" w:lineRule="auto"/>
        <w:jc w:val="both"/>
        <w:rPr>
          <w:rFonts w:ascii="Arial" w:hAnsi="Arial" w:cs="Arial"/>
          <w:sz w:val="24"/>
          <w:szCs w:val="24"/>
        </w:rPr>
      </w:pPr>
      <w:r>
        <w:rPr>
          <w:rFonts w:ascii="Arial" w:hAnsi="Arial" w:cs="Arial"/>
          <w:sz w:val="24"/>
          <w:szCs w:val="24"/>
        </w:rPr>
        <w:t>οποίες να προσδιορίζουν ή να αποκλείουν την παρουσία των GISTs. Οι όποιες εξετάσεις εκτελούνται γίνονται στο πλαίσιο ελέγχου των άτυπων κοιλιακών ενοχλημάτων ή των επιπλοκών τους: αιμορραγίας, εντερικής απόφραξης και διάτρησης.</w:t>
      </w:r>
      <w:r w:rsidR="005B4502" w:rsidRPr="00897F14">
        <w:rPr>
          <w:rFonts w:ascii="Arial" w:hAnsi="Arial" w:cs="Arial"/>
          <w:sz w:val="24"/>
          <w:szCs w:val="24"/>
        </w:rPr>
        <w:t xml:space="preserve"> </w:t>
      </w:r>
    </w:p>
    <w:p w:rsidR="0090168D" w:rsidRDefault="0090168D" w:rsidP="0090168D">
      <w:pPr>
        <w:spacing w:line="240" w:lineRule="auto"/>
        <w:jc w:val="both"/>
        <w:rPr>
          <w:rFonts w:ascii="Arial" w:hAnsi="Arial" w:cs="Arial"/>
          <w:sz w:val="24"/>
          <w:szCs w:val="24"/>
        </w:rPr>
      </w:pPr>
      <w:r>
        <w:rPr>
          <w:rFonts w:ascii="Arial" w:hAnsi="Arial" w:cs="Arial"/>
          <w:sz w:val="24"/>
          <w:szCs w:val="24"/>
        </w:rPr>
        <w:tab/>
      </w:r>
      <w:r>
        <w:rPr>
          <w:rFonts w:ascii="Arial" w:hAnsi="Arial" w:cs="Arial"/>
          <w:sz w:val="24"/>
          <w:szCs w:val="24"/>
          <w:u w:val="single"/>
        </w:rPr>
        <w:t>Απεικονιστικές εξετάσεις</w:t>
      </w:r>
      <w:r>
        <w:rPr>
          <w:rFonts w:ascii="Arial" w:hAnsi="Arial" w:cs="Arial"/>
          <w:sz w:val="24"/>
          <w:szCs w:val="24"/>
        </w:rPr>
        <w:t xml:space="preserve">. </w:t>
      </w:r>
    </w:p>
    <w:p w:rsidR="0090168D" w:rsidRDefault="0090168D" w:rsidP="003E071D">
      <w:pPr>
        <w:pStyle w:val="ListParagraph"/>
        <w:numPr>
          <w:ilvl w:val="0"/>
          <w:numId w:val="16"/>
        </w:numPr>
        <w:spacing w:line="240" w:lineRule="auto"/>
        <w:jc w:val="both"/>
        <w:rPr>
          <w:rFonts w:ascii="Arial" w:hAnsi="Arial" w:cs="Arial"/>
          <w:sz w:val="24"/>
          <w:szCs w:val="24"/>
        </w:rPr>
      </w:pPr>
      <w:r>
        <w:rPr>
          <w:rFonts w:ascii="Arial" w:hAnsi="Arial" w:cs="Arial"/>
          <w:sz w:val="24"/>
          <w:szCs w:val="24"/>
        </w:rPr>
        <w:t>Οι απλές ακτινογραφίες κοιλίας  δεν εί</w:t>
      </w:r>
      <w:r w:rsidR="003C4292">
        <w:rPr>
          <w:rFonts w:ascii="Arial" w:hAnsi="Arial" w:cs="Arial"/>
          <w:sz w:val="24"/>
          <w:szCs w:val="24"/>
        </w:rPr>
        <w:t>ναι ειδικές για τη διάγνωση των όγκων αυτών, αλλά παραγγέλλονται ως τμήμα του ελέγχου ασθενών με επείγουσες καταστάσεις (εντερική απόφραξη η διάτρηση).</w:t>
      </w:r>
    </w:p>
    <w:p w:rsidR="003C4292" w:rsidRDefault="003C4292" w:rsidP="003E071D">
      <w:pPr>
        <w:pStyle w:val="ListParagraph"/>
        <w:numPr>
          <w:ilvl w:val="0"/>
          <w:numId w:val="16"/>
        </w:numPr>
        <w:spacing w:line="240" w:lineRule="auto"/>
        <w:jc w:val="both"/>
        <w:rPr>
          <w:rFonts w:ascii="Arial" w:hAnsi="Arial" w:cs="Arial"/>
          <w:sz w:val="24"/>
          <w:szCs w:val="24"/>
        </w:rPr>
      </w:pPr>
      <w:r>
        <w:rPr>
          <w:rFonts w:ascii="Arial" w:hAnsi="Arial" w:cs="Arial"/>
          <w:sz w:val="24"/>
          <w:szCs w:val="24"/>
        </w:rPr>
        <w:t xml:space="preserve">Η εντερόκλυση είναι δύσκολο να διαγνώσει ή να εντοπίσει </w:t>
      </w:r>
      <w:r w:rsidR="009A609E">
        <w:rPr>
          <w:rFonts w:ascii="Arial" w:hAnsi="Arial" w:cs="Arial"/>
          <w:sz w:val="24"/>
          <w:szCs w:val="24"/>
        </w:rPr>
        <w:t>τους στρωματικούς όγκους, όπως συμβαίνει και με τους άλλους όγκους του λεπτού εντέρου. Είναι δυνατόν, όμως, να αποδειχθεί χρήσιμη και στην περίπτωση αυτή ό όγκος παρουσιάζεται ως έλλειμμα πληρώσεως, με σαφή όρια και υπεγερμένο βλεννογόνο, ο οποίος είναι ομαλός εκτός και αν έχει δημιουργηθεί εξέλκωση, λόγω της μεγάλης ανάπτυξης του υποκείμενου όγκου.</w:t>
      </w:r>
    </w:p>
    <w:p w:rsidR="002D0FDB" w:rsidRDefault="002D0FDB" w:rsidP="003E071D">
      <w:pPr>
        <w:pStyle w:val="ListParagraph"/>
        <w:numPr>
          <w:ilvl w:val="0"/>
          <w:numId w:val="16"/>
        </w:numPr>
        <w:spacing w:line="240" w:lineRule="auto"/>
        <w:jc w:val="both"/>
        <w:rPr>
          <w:rFonts w:ascii="Arial" w:hAnsi="Arial" w:cs="Arial"/>
          <w:sz w:val="24"/>
          <w:szCs w:val="24"/>
        </w:rPr>
      </w:pPr>
      <w:r>
        <w:rPr>
          <w:rFonts w:ascii="Arial" w:hAnsi="Arial" w:cs="Arial"/>
          <w:sz w:val="24"/>
          <w:szCs w:val="24"/>
        </w:rPr>
        <w:t>Το διαδερμικό υπερηχογράφημα κοιλίας δεν αποτελεί την ιδανική επιλογή για την απεικόνιση των GISTs, εκτός και αν ο όγκος είναι μεγάλου μεγέθους. Καλύτερη απεικόνιση παρουσιάζει το ενδοσκοπικό υπερηχογράφημα, με το οποίο είναι δυνατό να ληφθεί και βιοψία με λεπτή βελόνα, αλλά μπορεί να εφαρμοσθεί μόνο σε όγκους του στομάχου ή του παχέος εντέρου.</w:t>
      </w:r>
    </w:p>
    <w:p w:rsidR="00317CAC" w:rsidRPr="004D3360" w:rsidRDefault="00317CAC" w:rsidP="003E071D">
      <w:pPr>
        <w:pStyle w:val="ListParagraph"/>
        <w:numPr>
          <w:ilvl w:val="0"/>
          <w:numId w:val="16"/>
        </w:numPr>
        <w:spacing w:line="240" w:lineRule="auto"/>
        <w:jc w:val="both"/>
        <w:rPr>
          <w:rFonts w:ascii="Arial" w:hAnsi="Arial" w:cs="Arial"/>
          <w:sz w:val="24"/>
          <w:szCs w:val="24"/>
        </w:rPr>
      </w:pPr>
      <w:r>
        <w:rPr>
          <w:rFonts w:ascii="Arial" w:hAnsi="Arial" w:cs="Arial"/>
          <w:sz w:val="24"/>
          <w:szCs w:val="24"/>
        </w:rPr>
        <w:t>Η αξονική τομογραφία κοιλίας και πυέλου αποτελεί μια ενδιαφέρουσα απεικονιστική μέθοδο για τη διάγνωση και τη σταδιοποίηση των στρωματικών όγκων του λεπτού εντέρου. Παρέχει πληροφορίες σχετικά με το μέγεθος και την εντόπιση του όγκου και τη σχέση του με παρακείμενους ιστούς. Μπορεί, επίσης, να διαπιστώσει την παρουσία πολλαπλών όγκων και τη μεταστατική διασπορά</w:t>
      </w:r>
      <w:r w:rsidR="009D30D2">
        <w:rPr>
          <w:rFonts w:ascii="Arial" w:hAnsi="Arial" w:cs="Arial"/>
          <w:sz w:val="24"/>
          <w:szCs w:val="24"/>
        </w:rPr>
        <w:t>.</w:t>
      </w:r>
      <w:r w:rsidR="00715814">
        <w:rPr>
          <w:rFonts w:ascii="Arial" w:hAnsi="Arial" w:cs="Arial"/>
          <w:sz w:val="24"/>
          <w:szCs w:val="24"/>
        </w:rPr>
        <w:t xml:space="preserve"> Ο </w:t>
      </w:r>
      <w:r w:rsidR="00715814">
        <w:rPr>
          <w:rFonts w:ascii="Arial" w:hAnsi="Arial" w:cs="Arial"/>
          <w:sz w:val="24"/>
          <w:szCs w:val="24"/>
          <w:lang w:val="en-US"/>
        </w:rPr>
        <w:t>Ghanem</w:t>
      </w:r>
      <w:r w:rsidR="00715814" w:rsidRPr="00715814">
        <w:rPr>
          <w:rFonts w:ascii="Arial" w:hAnsi="Arial" w:cs="Arial"/>
          <w:sz w:val="24"/>
          <w:szCs w:val="24"/>
        </w:rPr>
        <w:t>, αν</w:t>
      </w:r>
      <w:r w:rsidR="00715814">
        <w:rPr>
          <w:rFonts w:ascii="Arial" w:hAnsi="Arial" w:cs="Arial"/>
          <w:sz w:val="24"/>
          <w:szCs w:val="24"/>
        </w:rPr>
        <w:t>άλογα με τα ευρήματα της αξονικής τομογραφίας, διέκρινε τους όγκους σε μικρούς (&lt;5 εκ), μέτριους (5-10 εκ) και μεγάλους (&gt;10 εκ). Οι μικροί είναι σαφώς αφοριζόμενοι, ομοιογενείς, με ενδοαυλική ανάπτυξη. Οι μέσου μεγέθους εμφανίζονται με ανώμαλο περίγραμμα, παρουσιάζουν ετερογένεια στην πυκν</w:t>
      </w:r>
      <w:r w:rsidR="00D84B23">
        <w:rPr>
          <w:rFonts w:ascii="Arial" w:hAnsi="Arial" w:cs="Arial"/>
          <w:sz w:val="24"/>
          <w:szCs w:val="24"/>
        </w:rPr>
        <w:t xml:space="preserve">ότητα, ενδοαυλική και εξωαυλική ανάπτυξη και σημεία βιολογικής επιθετικότητας, όπως διήθηση παρακείμενων οργάνων. Οι μεγάλοι εμφανίζονται με ανώμαλα όρια, ετερογένεια στην πυκνότητα, επιθετική τοπική </w:t>
      </w:r>
      <w:r w:rsidR="00D84B23">
        <w:rPr>
          <w:rFonts w:ascii="Arial" w:hAnsi="Arial" w:cs="Arial"/>
          <w:sz w:val="24"/>
          <w:szCs w:val="24"/>
        </w:rPr>
        <w:lastRenderedPageBreak/>
        <w:t>συμπεριφορά και απομακρυσμένες ή περιτοναϊκές μεταστάσεις.</w:t>
      </w:r>
      <w:r w:rsidR="00FB41F2">
        <w:rPr>
          <w:rFonts w:ascii="Arial" w:hAnsi="Arial" w:cs="Arial"/>
          <w:sz w:val="24"/>
          <w:szCs w:val="24"/>
          <w:vertAlign w:val="superscript"/>
        </w:rPr>
        <w:t>37</w:t>
      </w:r>
      <w:r w:rsidR="00D84B23">
        <w:rPr>
          <w:rFonts w:ascii="Arial" w:hAnsi="Arial" w:cs="Arial"/>
          <w:sz w:val="24"/>
          <w:szCs w:val="24"/>
        </w:rPr>
        <w:t xml:space="preserve"> </w:t>
      </w:r>
      <w:r w:rsidR="002168E7">
        <w:rPr>
          <w:rFonts w:ascii="Arial" w:hAnsi="Arial" w:cs="Arial"/>
          <w:sz w:val="24"/>
          <w:szCs w:val="24"/>
        </w:rPr>
        <w:t xml:space="preserve">Ο Tateishi συνδύασε τα ευρήματα της αξονικής τομογραφίας με </w:t>
      </w:r>
      <w:r w:rsidR="00B05C57">
        <w:rPr>
          <w:rFonts w:ascii="Arial" w:hAnsi="Arial" w:cs="Arial"/>
          <w:sz w:val="24"/>
          <w:szCs w:val="24"/>
        </w:rPr>
        <w:t>το βαθμό κακοήθειας των όγκων και τη θνητότητα. Κατέληξε στο συμπέρασμα ότι τα ευρήματα της αξονικής, που συνδέονται με υψηλό βαθμό κακοήθειας και μεγάλη θνητότητα είναι: μέγεθος όγκου μεγαλύτερο των 11,1 εκ, ανώμαλο περίγραμμα του όγκου, ασαφή όρια, ετερογένεια στην πυκνότητα, διήθηση παρακείμενων οργάνων και ηπατικές ή περιτοναϊκές μεταστάσεις.</w:t>
      </w:r>
      <w:r w:rsidR="0082289D">
        <w:rPr>
          <w:rFonts w:ascii="Arial" w:hAnsi="Arial" w:cs="Arial"/>
          <w:sz w:val="24"/>
          <w:szCs w:val="24"/>
          <w:vertAlign w:val="superscript"/>
        </w:rPr>
        <w:t>38</w:t>
      </w:r>
      <w:r w:rsidR="00A73EEC">
        <w:rPr>
          <w:rFonts w:ascii="Arial" w:hAnsi="Arial" w:cs="Arial"/>
          <w:sz w:val="24"/>
          <w:szCs w:val="24"/>
        </w:rPr>
        <w:t xml:space="preserve"> </w:t>
      </w:r>
      <w:r w:rsidR="00715814">
        <w:rPr>
          <w:rFonts w:ascii="Arial" w:hAnsi="Arial" w:cs="Arial"/>
          <w:sz w:val="24"/>
          <w:szCs w:val="24"/>
        </w:rPr>
        <w:t xml:space="preserve"> </w:t>
      </w:r>
    </w:p>
    <w:p w:rsidR="004D3360" w:rsidRDefault="004D3360" w:rsidP="003E071D">
      <w:pPr>
        <w:pStyle w:val="ListParagraph"/>
        <w:numPr>
          <w:ilvl w:val="0"/>
          <w:numId w:val="16"/>
        </w:numPr>
        <w:spacing w:line="240" w:lineRule="auto"/>
        <w:jc w:val="both"/>
        <w:rPr>
          <w:rFonts w:ascii="Arial" w:hAnsi="Arial" w:cs="Arial"/>
          <w:sz w:val="24"/>
          <w:szCs w:val="24"/>
        </w:rPr>
      </w:pPr>
      <w:r>
        <w:rPr>
          <w:rFonts w:ascii="Arial" w:hAnsi="Arial" w:cs="Arial"/>
          <w:sz w:val="24"/>
          <w:szCs w:val="24"/>
        </w:rPr>
        <w:t>Η μαγνητική τομογραφία (MRI) αν και δεν έχει μελετηθεί τόσο πολύ όσο η αξονική τομογραφία, για τη διάγνωση των στρωματικών όγκων του λεπτού εντέρου, παρουσιάζει την ίδια ευαισθησία και παρέχει τις ίδιες πληροφορίες με την αξονική τομογραφία.</w:t>
      </w:r>
    </w:p>
    <w:p w:rsidR="0073410C" w:rsidRPr="002B4426" w:rsidRDefault="001076FE" w:rsidP="003E071D">
      <w:pPr>
        <w:pStyle w:val="ListParagraph"/>
        <w:numPr>
          <w:ilvl w:val="0"/>
          <w:numId w:val="16"/>
        </w:numPr>
        <w:spacing w:line="240" w:lineRule="auto"/>
        <w:jc w:val="both"/>
        <w:rPr>
          <w:rFonts w:ascii="Arial" w:hAnsi="Arial" w:cs="Arial"/>
          <w:sz w:val="24"/>
          <w:szCs w:val="24"/>
        </w:rPr>
      </w:pPr>
      <w:r>
        <w:rPr>
          <w:rFonts w:ascii="Arial" w:hAnsi="Arial" w:cs="Arial"/>
          <w:sz w:val="24"/>
          <w:szCs w:val="24"/>
        </w:rPr>
        <w:t>Το</w:t>
      </w:r>
      <w:r w:rsidRPr="001076FE">
        <w:rPr>
          <w:rFonts w:ascii="Arial" w:hAnsi="Arial" w:cs="Arial"/>
          <w:sz w:val="24"/>
          <w:szCs w:val="24"/>
        </w:rPr>
        <w:t xml:space="preserve"> </w:t>
      </w:r>
      <w:r w:rsidRPr="001076FE">
        <w:rPr>
          <w:rFonts w:ascii="Arial" w:hAnsi="Arial" w:cs="Arial"/>
          <w:sz w:val="24"/>
          <w:szCs w:val="24"/>
          <w:lang w:val="en-US"/>
        </w:rPr>
        <w:t>PET</w:t>
      </w:r>
      <w:r w:rsidRPr="001076FE">
        <w:rPr>
          <w:rFonts w:ascii="Arial" w:hAnsi="Arial" w:cs="Arial"/>
          <w:sz w:val="24"/>
          <w:szCs w:val="24"/>
        </w:rPr>
        <w:t xml:space="preserve"> </w:t>
      </w:r>
      <w:r w:rsidRPr="001076FE">
        <w:rPr>
          <w:rFonts w:ascii="Arial" w:hAnsi="Arial" w:cs="Arial"/>
          <w:sz w:val="24"/>
          <w:szCs w:val="24"/>
          <w:lang w:val="en-US"/>
        </w:rPr>
        <w:t>scan</w:t>
      </w:r>
      <w:r>
        <w:rPr>
          <w:rFonts w:ascii="Arial" w:hAnsi="Arial" w:cs="Arial"/>
          <w:sz w:val="24"/>
          <w:szCs w:val="24"/>
        </w:rPr>
        <w:t>, με χορήγηση</w:t>
      </w:r>
      <w:r w:rsidRPr="001076FE">
        <w:rPr>
          <w:rFonts w:ascii="Arial" w:hAnsi="Arial" w:cs="Arial"/>
          <w:sz w:val="24"/>
          <w:szCs w:val="24"/>
        </w:rPr>
        <w:t xml:space="preserve"> 2-</w:t>
      </w:r>
      <w:r w:rsidRPr="001076FE">
        <w:rPr>
          <w:rFonts w:ascii="Arial" w:hAnsi="Arial" w:cs="Arial"/>
          <w:sz w:val="24"/>
          <w:szCs w:val="24"/>
          <w:lang w:val="en-US"/>
        </w:rPr>
        <w:t>fluoro</w:t>
      </w:r>
      <w:r w:rsidRPr="001076FE">
        <w:rPr>
          <w:rFonts w:ascii="Arial" w:hAnsi="Arial" w:cs="Arial"/>
          <w:sz w:val="24"/>
          <w:szCs w:val="24"/>
        </w:rPr>
        <w:t>-2-</w:t>
      </w:r>
      <w:r w:rsidRPr="001076FE">
        <w:rPr>
          <w:rFonts w:ascii="Arial" w:hAnsi="Arial" w:cs="Arial"/>
          <w:sz w:val="24"/>
          <w:szCs w:val="24"/>
          <w:lang w:val="en-US"/>
        </w:rPr>
        <w:t>deoxy</w:t>
      </w:r>
      <w:r w:rsidR="00D56031">
        <w:rPr>
          <w:rFonts w:ascii="Arial" w:hAnsi="Arial" w:cs="Arial"/>
          <w:sz w:val="24"/>
          <w:szCs w:val="24"/>
        </w:rPr>
        <w:t>-</w:t>
      </w:r>
      <w:r w:rsidRPr="001076FE">
        <w:rPr>
          <w:rFonts w:ascii="Arial" w:hAnsi="Arial" w:cs="Arial"/>
          <w:sz w:val="24"/>
          <w:szCs w:val="24"/>
          <w:lang w:val="en-US"/>
        </w:rPr>
        <w:t>D</w:t>
      </w:r>
      <w:r w:rsidRPr="001076FE">
        <w:rPr>
          <w:rFonts w:ascii="Arial" w:hAnsi="Arial" w:cs="Arial"/>
          <w:sz w:val="24"/>
          <w:szCs w:val="24"/>
        </w:rPr>
        <w:t>-</w:t>
      </w:r>
      <w:r>
        <w:rPr>
          <w:rFonts w:ascii="Arial" w:hAnsi="Arial" w:cs="Arial"/>
          <w:sz w:val="24"/>
          <w:szCs w:val="24"/>
          <w:lang w:val="en-US"/>
        </w:rPr>
        <w:t>glucose</w:t>
      </w:r>
      <w:r>
        <w:rPr>
          <w:rFonts w:ascii="Arial" w:hAnsi="Arial" w:cs="Arial"/>
          <w:sz w:val="24"/>
          <w:szCs w:val="24"/>
        </w:rPr>
        <w:t xml:space="preserve"> σεσημασμένης με</w:t>
      </w:r>
      <w:r w:rsidRPr="001076FE">
        <w:rPr>
          <w:rFonts w:ascii="Arial" w:hAnsi="Arial" w:cs="Arial"/>
          <w:sz w:val="24"/>
          <w:szCs w:val="24"/>
        </w:rPr>
        <w:t xml:space="preserve"> </w:t>
      </w:r>
      <w:r>
        <w:rPr>
          <w:rFonts w:ascii="Arial" w:hAnsi="Arial" w:cs="Arial"/>
          <w:sz w:val="24"/>
          <w:szCs w:val="24"/>
          <w:lang w:val="en-US"/>
        </w:rPr>
        <w:t>F</w:t>
      </w:r>
      <w:r w:rsidRPr="001076FE">
        <w:rPr>
          <w:rFonts w:ascii="Arial" w:hAnsi="Arial" w:cs="Arial"/>
          <w:sz w:val="24"/>
          <w:szCs w:val="24"/>
          <w:vertAlign w:val="superscript"/>
        </w:rPr>
        <w:t>18</w:t>
      </w:r>
      <w:r>
        <w:rPr>
          <w:rFonts w:ascii="Arial" w:hAnsi="Arial" w:cs="Arial"/>
          <w:sz w:val="24"/>
          <w:szCs w:val="24"/>
        </w:rPr>
        <w:t>, έχει τελευταία αξιολογηθεί ως μια εξαιρετική μέθοδος ανίχνευσης μεταστατικής νόσου και εκτίμησης της ανταπόκρισης σε επικουρικές θεραπείες, όπως είναι η χορήγηση imatinib mesylate.</w:t>
      </w:r>
      <w:r w:rsidR="008B1E00" w:rsidRPr="008B1E00">
        <w:rPr>
          <w:rFonts w:ascii="Arial" w:hAnsi="Arial" w:cs="Arial"/>
          <w:sz w:val="24"/>
          <w:szCs w:val="24"/>
          <w:vertAlign w:val="superscript"/>
        </w:rPr>
        <w:t>39</w:t>
      </w:r>
      <w:r w:rsidR="00FC76CD" w:rsidRPr="00FC76CD">
        <w:rPr>
          <w:rFonts w:ascii="Arial" w:hAnsi="Arial" w:cs="Arial"/>
          <w:sz w:val="24"/>
          <w:szCs w:val="24"/>
        </w:rPr>
        <w:t xml:space="preserve"> </w:t>
      </w:r>
    </w:p>
    <w:p w:rsidR="002B4426" w:rsidRDefault="002B4426" w:rsidP="003E071D">
      <w:pPr>
        <w:pStyle w:val="ListParagraph"/>
        <w:numPr>
          <w:ilvl w:val="0"/>
          <w:numId w:val="16"/>
        </w:numPr>
        <w:spacing w:line="240" w:lineRule="auto"/>
        <w:jc w:val="both"/>
        <w:rPr>
          <w:rFonts w:ascii="Arial" w:hAnsi="Arial" w:cs="Arial"/>
          <w:sz w:val="24"/>
          <w:szCs w:val="24"/>
        </w:rPr>
      </w:pPr>
      <w:r w:rsidRPr="002B4426">
        <w:rPr>
          <w:rFonts w:ascii="Arial" w:hAnsi="Arial" w:cs="Arial"/>
          <w:sz w:val="24"/>
          <w:szCs w:val="24"/>
        </w:rPr>
        <w:t>Η αγγειογραφ</w:t>
      </w:r>
      <w:r>
        <w:rPr>
          <w:rFonts w:ascii="Arial" w:hAnsi="Arial" w:cs="Arial"/>
          <w:sz w:val="24"/>
          <w:szCs w:val="24"/>
        </w:rPr>
        <w:t xml:space="preserve">ία σπανίως χρησιμοποιείται για τη διάγνωση των GISTs. Έχει αναφερθεί περιστασιακά η χρήση της για την ανίχνευση της αιτίας αιμορραγίας από το πεπτικό. Έτσι, με τη μέθοδο αυτή, ο Gordon εντόπισε </w:t>
      </w:r>
      <w:r w:rsidR="00D338A7">
        <w:rPr>
          <w:rFonts w:ascii="Arial" w:hAnsi="Arial" w:cs="Arial"/>
          <w:sz w:val="24"/>
          <w:szCs w:val="24"/>
        </w:rPr>
        <w:t>την παρουσία στρωματικού όγκου στο δεξιό κάτω τεταρτημόριο της κοιλίας,</w:t>
      </w:r>
      <w:r w:rsidR="00D338A7">
        <w:rPr>
          <w:rFonts w:ascii="Arial" w:hAnsi="Arial" w:cs="Arial"/>
          <w:sz w:val="24"/>
          <w:szCs w:val="24"/>
          <w:vertAlign w:val="superscript"/>
        </w:rPr>
        <w:t>40</w:t>
      </w:r>
      <w:r w:rsidR="00D338A7">
        <w:rPr>
          <w:rFonts w:ascii="Arial" w:hAnsi="Arial" w:cs="Arial"/>
          <w:sz w:val="24"/>
          <w:szCs w:val="24"/>
        </w:rPr>
        <w:t xml:space="preserve"> οι Au και Peh διέγνωσαν την παρουσία του όγκου στον ειλεό, σε ασθενή με μέλαινες κενώσεις και αναιμία.</w:t>
      </w:r>
      <w:r w:rsidR="00D338A7">
        <w:rPr>
          <w:rFonts w:ascii="Arial" w:hAnsi="Arial" w:cs="Arial"/>
          <w:sz w:val="24"/>
          <w:szCs w:val="24"/>
          <w:vertAlign w:val="superscript"/>
        </w:rPr>
        <w:t>41</w:t>
      </w:r>
      <w:r w:rsidR="00D338A7">
        <w:rPr>
          <w:rFonts w:ascii="Arial" w:hAnsi="Arial" w:cs="Arial"/>
          <w:sz w:val="24"/>
          <w:szCs w:val="24"/>
        </w:rPr>
        <w:t xml:space="preserve"> Τέλος, οι Nakagawa και Suzuki με τη χρήση της αγγει</w:t>
      </w:r>
      <w:r w:rsidR="000741A9">
        <w:rPr>
          <w:rFonts w:ascii="Arial" w:hAnsi="Arial" w:cs="Arial"/>
          <w:sz w:val="24"/>
          <w:szCs w:val="24"/>
        </w:rPr>
        <w:t>ο</w:t>
      </w:r>
      <w:r w:rsidR="00D338A7">
        <w:rPr>
          <w:rFonts w:ascii="Arial" w:hAnsi="Arial" w:cs="Arial"/>
          <w:sz w:val="24"/>
          <w:szCs w:val="24"/>
        </w:rPr>
        <w:t>γραφίας διαπίστωσαν την παρουσία εξωγαστρικού, στο μείζον επίπλουν, GIST.</w:t>
      </w:r>
      <w:r w:rsidR="00D338A7">
        <w:rPr>
          <w:rFonts w:ascii="Arial" w:hAnsi="Arial" w:cs="Arial"/>
          <w:sz w:val="24"/>
          <w:szCs w:val="24"/>
          <w:vertAlign w:val="superscript"/>
        </w:rPr>
        <w:t>42,43</w:t>
      </w:r>
      <w:r w:rsidR="000D6652">
        <w:rPr>
          <w:rFonts w:ascii="Arial" w:hAnsi="Arial" w:cs="Arial"/>
          <w:sz w:val="24"/>
          <w:szCs w:val="24"/>
        </w:rPr>
        <w:t xml:space="preserve"> </w:t>
      </w:r>
    </w:p>
    <w:p w:rsidR="009E2914" w:rsidRPr="00890E65" w:rsidRDefault="002D7344" w:rsidP="009E2914">
      <w:pPr>
        <w:spacing w:line="240" w:lineRule="auto"/>
        <w:ind w:left="720"/>
        <w:jc w:val="both"/>
        <w:rPr>
          <w:rFonts w:ascii="Arial" w:hAnsi="Arial" w:cs="Arial"/>
          <w:b/>
          <w:i/>
          <w:sz w:val="24"/>
          <w:szCs w:val="24"/>
        </w:rPr>
      </w:pPr>
      <w:r>
        <w:rPr>
          <w:rFonts w:ascii="Arial" w:hAnsi="Arial" w:cs="Arial"/>
          <w:b/>
          <w:i/>
          <w:sz w:val="24"/>
          <w:szCs w:val="24"/>
        </w:rPr>
        <w:t>Θεραπεία</w:t>
      </w:r>
    </w:p>
    <w:p w:rsidR="00CE0EC2" w:rsidRDefault="007062DD" w:rsidP="009E2914">
      <w:pPr>
        <w:spacing w:line="240" w:lineRule="auto"/>
        <w:ind w:left="720"/>
        <w:jc w:val="both"/>
        <w:rPr>
          <w:rFonts w:ascii="Arial" w:hAnsi="Arial" w:cs="Arial"/>
          <w:sz w:val="24"/>
          <w:szCs w:val="24"/>
        </w:rPr>
      </w:pPr>
      <w:r>
        <w:rPr>
          <w:rFonts w:ascii="Arial" w:hAnsi="Arial" w:cs="Arial"/>
          <w:sz w:val="24"/>
          <w:szCs w:val="24"/>
        </w:rPr>
        <w:t>Η χειρουργική εξαίρεση των στρωματικών όγκων αποτελεί την πλέον</w:t>
      </w:r>
    </w:p>
    <w:p w:rsidR="007062DD" w:rsidRDefault="00D16CA5" w:rsidP="00CE0EC2">
      <w:pPr>
        <w:spacing w:line="240" w:lineRule="auto"/>
        <w:jc w:val="both"/>
        <w:rPr>
          <w:rFonts w:ascii="Arial" w:hAnsi="Arial" w:cs="Arial"/>
          <w:sz w:val="24"/>
          <w:szCs w:val="24"/>
        </w:rPr>
      </w:pPr>
      <w:r>
        <w:rPr>
          <w:rFonts w:ascii="Arial" w:hAnsi="Arial" w:cs="Arial"/>
          <w:sz w:val="24"/>
          <w:szCs w:val="24"/>
        </w:rPr>
        <w:t>αποτελεσματική</w:t>
      </w:r>
      <w:r w:rsidR="007062DD">
        <w:rPr>
          <w:rFonts w:ascii="Arial" w:hAnsi="Arial" w:cs="Arial"/>
          <w:sz w:val="24"/>
          <w:szCs w:val="24"/>
        </w:rPr>
        <w:t xml:space="preserve"> μέθοδο θεραπείας των ασθενών.</w:t>
      </w:r>
      <w:r>
        <w:rPr>
          <w:rFonts w:ascii="Arial" w:hAnsi="Arial" w:cs="Arial"/>
          <w:sz w:val="24"/>
          <w:szCs w:val="24"/>
        </w:rPr>
        <w:t xml:space="preserve"> Η ριζική και πλήρης αφαίρεσή τους προσφέρει τη μοναδική ευκαιρία ίασης. Η χειρουργική εκτομή ενδείκνυται και σε συμπτωματικούς ασθενείς με τοπικά εκτεταμένη ή μεταστατική νόσο. Η εκτομή μεγάλου τμήματος του όγκου, αν και όχι πλήρης, βοηθά στη δράση επικουρικών θεραπειών, όπως της χορήγησης imatinib mesylate. Να σημειωθεί ότι ριζική εκτομή του όγκου με αρνητικά όρια εκτομής επιτυγχάνεται στο 79%, περίπου, των ασθενών.</w:t>
      </w:r>
      <w:r w:rsidR="00AF593E">
        <w:rPr>
          <w:rFonts w:ascii="Arial" w:hAnsi="Arial" w:cs="Arial"/>
          <w:sz w:val="24"/>
          <w:szCs w:val="24"/>
          <w:vertAlign w:val="superscript"/>
        </w:rPr>
        <w:t>44,45</w:t>
      </w:r>
      <w:r w:rsidR="00157860">
        <w:rPr>
          <w:rFonts w:ascii="Arial" w:hAnsi="Arial" w:cs="Arial"/>
          <w:sz w:val="24"/>
          <w:szCs w:val="24"/>
        </w:rPr>
        <w:t xml:space="preserve"> </w:t>
      </w:r>
    </w:p>
    <w:p w:rsidR="00E87298" w:rsidRDefault="00E87298" w:rsidP="00CE0EC2">
      <w:pPr>
        <w:spacing w:line="240" w:lineRule="auto"/>
        <w:jc w:val="both"/>
        <w:rPr>
          <w:rFonts w:ascii="Arial" w:hAnsi="Arial" w:cs="Arial"/>
          <w:sz w:val="24"/>
          <w:szCs w:val="24"/>
        </w:rPr>
      </w:pPr>
      <w:r>
        <w:rPr>
          <w:rFonts w:ascii="Arial" w:hAnsi="Arial" w:cs="Arial"/>
          <w:sz w:val="24"/>
          <w:szCs w:val="24"/>
        </w:rPr>
        <w:tab/>
        <w:t>Η μόνη αποτελεσματική και ειδική, μη χειρουργική, θεραπεία των GISTs είναι η χορήγηση του imatinib mesylate (Glee</w:t>
      </w:r>
      <w:r w:rsidR="00892C5C">
        <w:rPr>
          <w:rFonts w:ascii="Arial" w:hAnsi="Arial" w:cs="Arial"/>
          <w:sz w:val="24"/>
          <w:szCs w:val="24"/>
        </w:rPr>
        <w:t>vec), το οποίο αποτελεί εκλεκτικό αναστολέα της κινάσης της τυροσίνης και δρα έναντι</w:t>
      </w:r>
      <w:r w:rsidR="000B66D6">
        <w:rPr>
          <w:rFonts w:ascii="Arial" w:hAnsi="Arial" w:cs="Arial"/>
          <w:sz w:val="24"/>
          <w:szCs w:val="24"/>
        </w:rPr>
        <w:t xml:space="preserve"> των αποτελεσμάτων</w:t>
      </w:r>
      <w:r w:rsidR="00892C5C">
        <w:rPr>
          <w:rFonts w:ascii="Arial" w:hAnsi="Arial" w:cs="Arial"/>
          <w:sz w:val="24"/>
          <w:szCs w:val="24"/>
        </w:rPr>
        <w:t xml:space="preserve"> της μετάλλαξης του</w:t>
      </w:r>
      <w:r w:rsidR="005B7D2C">
        <w:rPr>
          <w:rFonts w:ascii="Arial" w:hAnsi="Arial" w:cs="Arial"/>
          <w:sz w:val="24"/>
          <w:szCs w:val="24"/>
        </w:rPr>
        <w:t xml:space="preserve"> ογκογονιδίου</w:t>
      </w:r>
      <w:r w:rsidR="00892C5C">
        <w:rPr>
          <w:rFonts w:ascii="Arial" w:hAnsi="Arial" w:cs="Arial"/>
          <w:sz w:val="24"/>
          <w:szCs w:val="24"/>
        </w:rPr>
        <w:t xml:space="preserve"> c-kit. Η εφαρμογή του αποτέλεσε επανάσταση στη φαρμακευτική αντινεοπλασματική θεραπεία, καθώς στοχεύει έναντι ειδικών μοριακών διαταραχών.</w:t>
      </w:r>
      <w:r w:rsidR="000B66D6">
        <w:rPr>
          <w:rFonts w:ascii="Arial" w:hAnsi="Arial" w:cs="Arial"/>
          <w:sz w:val="24"/>
          <w:szCs w:val="24"/>
        </w:rPr>
        <w:t xml:space="preserve"> </w:t>
      </w:r>
      <w:r w:rsidR="0097714A">
        <w:rPr>
          <w:rFonts w:ascii="Arial" w:hAnsi="Arial" w:cs="Arial"/>
          <w:sz w:val="24"/>
          <w:szCs w:val="24"/>
        </w:rPr>
        <w:t>Η απαιτούμενη δοσολογία του φαρμάκου</w:t>
      </w:r>
      <w:r w:rsidR="00F9426C">
        <w:rPr>
          <w:rFonts w:ascii="Arial" w:hAnsi="Arial" w:cs="Arial"/>
          <w:sz w:val="24"/>
          <w:szCs w:val="24"/>
        </w:rPr>
        <w:t>, ως επικουρικής ή προεγχειρητικής θεραπείας,</w:t>
      </w:r>
      <w:r w:rsidR="0097714A">
        <w:rPr>
          <w:rFonts w:ascii="Arial" w:hAnsi="Arial" w:cs="Arial"/>
          <w:sz w:val="24"/>
          <w:szCs w:val="24"/>
        </w:rPr>
        <w:t xml:space="preserve"> εξακολουθεί να βρίσκεται υπό μελέτη. </w:t>
      </w:r>
      <w:r w:rsidR="00C300AC">
        <w:rPr>
          <w:rFonts w:ascii="Arial" w:hAnsi="Arial" w:cs="Arial"/>
          <w:sz w:val="24"/>
          <w:szCs w:val="24"/>
        </w:rPr>
        <w:t>Το 2001 ο Blanke ανακοίνωσε</w:t>
      </w:r>
      <w:r w:rsidR="0097714A">
        <w:rPr>
          <w:rFonts w:ascii="Arial" w:hAnsi="Arial" w:cs="Arial"/>
          <w:sz w:val="24"/>
          <w:szCs w:val="24"/>
        </w:rPr>
        <w:t xml:space="preserve"> τα αποτελέσματα από τη χορήγηση 400-600 mg/d</w:t>
      </w:r>
      <w:r w:rsidR="00C300AC">
        <w:rPr>
          <w:rFonts w:ascii="Arial" w:hAnsi="Arial" w:cs="Arial"/>
          <w:sz w:val="24"/>
          <w:szCs w:val="24"/>
        </w:rPr>
        <w:t xml:space="preserve"> σε ασθενείς με μη εξαιρέσιμο όγκο ή μεταστατική νόσο</w:t>
      </w:r>
      <w:r w:rsidR="0097714A">
        <w:rPr>
          <w:rFonts w:ascii="Arial" w:hAnsi="Arial" w:cs="Arial"/>
          <w:sz w:val="24"/>
          <w:szCs w:val="24"/>
        </w:rPr>
        <w:t>.</w:t>
      </w:r>
      <w:r w:rsidR="00846E03" w:rsidRPr="00846E03">
        <w:rPr>
          <w:rFonts w:ascii="Arial" w:hAnsi="Arial" w:cs="Arial"/>
          <w:sz w:val="24"/>
          <w:szCs w:val="24"/>
          <w:vertAlign w:val="superscript"/>
        </w:rPr>
        <w:t>46</w:t>
      </w:r>
      <w:r w:rsidR="00C300AC">
        <w:rPr>
          <w:rFonts w:ascii="Arial" w:hAnsi="Arial" w:cs="Arial"/>
          <w:sz w:val="24"/>
          <w:szCs w:val="24"/>
        </w:rPr>
        <w:t xml:space="preserve"> Δεν παρατηρήθηκε πλήρης υποχώρηση του </w:t>
      </w:r>
      <w:r w:rsidR="00C300AC">
        <w:rPr>
          <w:rFonts w:ascii="Arial" w:hAnsi="Arial" w:cs="Arial"/>
          <w:sz w:val="24"/>
          <w:szCs w:val="24"/>
        </w:rPr>
        <w:lastRenderedPageBreak/>
        <w:t xml:space="preserve">όγκου σε οποιονδήποτε ασθενή. Μερική κλινική ανταπόκριση παρατηρήθηκε στο 59% των ασθενών, ενώ στο 13% σημειώθηκε επιδείνωση της νόσου. </w:t>
      </w:r>
      <w:r w:rsidR="00853948">
        <w:rPr>
          <w:rFonts w:ascii="Arial" w:hAnsi="Arial" w:cs="Arial"/>
          <w:sz w:val="24"/>
          <w:szCs w:val="24"/>
        </w:rPr>
        <w:t>Το 2002 ο van Oosterom</w:t>
      </w:r>
      <w:r w:rsidR="00853948" w:rsidRPr="00853948">
        <w:rPr>
          <w:rFonts w:ascii="Arial" w:hAnsi="Arial" w:cs="Arial"/>
          <w:sz w:val="24"/>
          <w:szCs w:val="24"/>
        </w:rPr>
        <w:t xml:space="preserve"> δημοσ</w:t>
      </w:r>
      <w:r w:rsidR="00853948">
        <w:rPr>
          <w:rFonts w:ascii="Arial" w:hAnsi="Arial" w:cs="Arial"/>
          <w:sz w:val="24"/>
          <w:szCs w:val="24"/>
        </w:rPr>
        <w:t>ίευσε τα αποτελέσματα από τη χορήγηση του φαρμάκου, σε δόση 400-1000 mg/d, σε ασθενείς με προχωρημένη νόσο.</w:t>
      </w:r>
      <w:r w:rsidR="00853948">
        <w:rPr>
          <w:rFonts w:ascii="Arial" w:hAnsi="Arial" w:cs="Arial"/>
          <w:sz w:val="24"/>
          <w:szCs w:val="24"/>
          <w:vertAlign w:val="superscript"/>
        </w:rPr>
        <w:t>47</w:t>
      </w:r>
      <w:r w:rsidR="00853948">
        <w:rPr>
          <w:rFonts w:ascii="Arial" w:hAnsi="Arial" w:cs="Arial"/>
          <w:sz w:val="24"/>
          <w:szCs w:val="24"/>
        </w:rPr>
        <w:t xml:space="preserve"> </w:t>
      </w:r>
      <w:r w:rsidR="00BC17B2">
        <w:rPr>
          <w:rFonts w:ascii="Arial" w:hAnsi="Arial" w:cs="Arial"/>
          <w:sz w:val="24"/>
          <w:szCs w:val="24"/>
        </w:rPr>
        <w:t xml:space="preserve">Μερική ανταπόκριση παρατηρήθηκε στο 54% των ασθενών και παρέμεινε σταθερή στο 37% των ασθενών. Οι συχνότερες επιπλοκές ήταν: οίδημα πέριξ των κόγχων (40%), περιφερικό οίδημα (37%), κόπωση (30%), </w:t>
      </w:r>
      <w:r w:rsidR="00F9426C">
        <w:rPr>
          <w:rFonts w:ascii="Arial" w:hAnsi="Arial" w:cs="Arial"/>
          <w:sz w:val="24"/>
          <w:szCs w:val="24"/>
        </w:rPr>
        <w:t>εξάνθημα (30%), ναυτία και έμετοι (25%). Η μεγαλύτερη καλά ανεκτή δόση ήταν 400mgX2. Δόση 500mgX2 ενεφάνισε υψηλό ποσοστό παρενεργειών του φαρμάκου.</w:t>
      </w:r>
    </w:p>
    <w:p w:rsidR="000A0DA0" w:rsidRDefault="001431DD" w:rsidP="006E422D">
      <w:pPr>
        <w:spacing w:line="240" w:lineRule="auto"/>
        <w:jc w:val="both"/>
        <w:rPr>
          <w:rFonts w:ascii="Arial" w:hAnsi="Arial" w:cs="Arial"/>
          <w:sz w:val="24"/>
          <w:szCs w:val="24"/>
        </w:rPr>
      </w:pPr>
      <w:r>
        <w:rPr>
          <w:rFonts w:ascii="Arial" w:hAnsi="Arial" w:cs="Arial"/>
          <w:sz w:val="24"/>
          <w:szCs w:val="24"/>
        </w:rPr>
        <w:tab/>
        <w:t xml:space="preserve">Η πλέον πρόσφατη φαρμακευτική αγωγή, για την αντιμετώπιση των στρωματικών όγκων του γαστρεντερικού, αποτελεί η χορήγηση του sunitinib (Sutent). </w:t>
      </w:r>
      <w:r w:rsidR="0072581F" w:rsidRPr="0072581F">
        <w:rPr>
          <w:rFonts w:ascii="Arial" w:hAnsi="Arial" w:cs="Arial"/>
          <w:sz w:val="24"/>
          <w:szCs w:val="24"/>
        </w:rPr>
        <w:t>Δ</w:t>
      </w:r>
      <w:r w:rsidR="0072581F">
        <w:rPr>
          <w:rFonts w:ascii="Arial" w:hAnsi="Arial" w:cs="Arial"/>
          <w:sz w:val="24"/>
          <w:szCs w:val="24"/>
        </w:rPr>
        <w:t>ρα μέσω αναστολής πολλαπλών υποδοχέων της κινάσης της τυροσίνης, οι οποίοι εμπλέκονται στην ανάπτυξη του όγκου, στην αγγειογένεση και στη μεταστατική διαδικασία. Αναστέλλει: τους υποδοχείς του αυξητικού παράγοντα των αιμοπεταλίων (PDGFR-α και PDGFR-β), τους υποδοχείς του αυξητικού παράγοντα του ενδοθηλίου των αγγείων (VEGFR1,</w:t>
      </w:r>
      <w:r w:rsidR="0072581F" w:rsidRPr="0072581F">
        <w:rPr>
          <w:rFonts w:ascii="Arial" w:hAnsi="Arial" w:cs="Arial"/>
          <w:sz w:val="24"/>
          <w:szCs w:val="24"/>
        </w:rPr>
        <w:t xml:space="preserve"> </w:t>
      </w:r>
      <w:r w:rsidR="0072581F">
        <w:rPr>
          <w:rFonts w:ascii="Arial" w:hAnsi="Arial" w:cs="Arial"/>
          <w:sz w:val="24"/>
          <w:szCs w:val="24"/>
        </w:rPr>
        <w:t>VEGFR2,</w:t>
      </w:r>
      <w:r w:rsidR="0072581F" w:rsidRPr="0072581F">
        <w:rPr>
          <w:rFonts w:ascii="Arial" w:hAnsi="Arial" w:cs="Arial"/>
          <w:sz w:val="24"/>
          <w:szCs w:val="24"/>
        </w:rPr>
        <w:t xml:space="preserve"> </w:t>
      </w:r>
      <w:r w:rsidR="0072581F">
        <w:rPr>
          <w:rFonts w:ascii="Arial" w:hAnsi="Arial" w:cs="Arial"/>
          <w:sz w:val="24"/>
          <w:szCs w:val="24"/>
          <w:lang w:val="en-US"/>
        </w:rPr>
        <w:t>VEGFR</w:t>
      </w:r>
      <w:r w:rsidR="0072581F" w:rsidRPr="0072581F">
        <w:rPr>
          <w:rFonts w:ascii="Arial" w:hAnsi="Arial" w:cs="Arial"/>
          <w:sz w:val="24"/>
          <w:szCs w:val="24"/>
        </w:rPr>
        <w:t>3</w:t>
      </w:r>
      <w:r w:rsidR="00373424" w:rsidRPr="00373424">
        <w:rPr>
          <w:rFonts w:ascii="Arial" w:hAnsi="Arial" w:cs="Arial"/>
          <w:sz w:val="24"/>
          <w:szCs w:val="24"/>
        </w:rPr>
        <w:t>), τους υποδοχε</w:t>
      </w:r>
      <w:r w:rsidR="00373424">
        <w:rPr>
          <w:rFonts w:ascii="Arial" w:hAnsi="Arial" w:cs="Arial"/>
          <w:sz w:val="24"/>
          <w:szCs w:val="24"/>
        </w:rPr>
        <w:t>ίς του παράγοντα των βλαστικών κυττάρων (ΚΙΤ) κ.α. Η χορήγησή του ενδείκνυται σε περιπτώσεις επιδείνωσης της νόσου ή μη καλής ανοχής στη χορήγηση του imatinib.</w:t>
      </w:r>
      <w:r w:rsidR="00A538E1">
        <w:rPr>
          <w:rFonts w:ascii="Arial" w:hAnsi="Arial" w:cs="Arial"/>
          <w:sz w:val="24"/>
          <w:szCs w:val="24"/>
        </w:rPr>
        <w:t xml:space="preserve"> Η δόση του είναι 50mg</w:t>
      </w:r>
      <w:r w:rsidR="00A538E1">
        <w:rPr>
          <w:rFonts w:ascii="Arial" w:hAnsi="Arial" w:cs="Arial"/>
          <w:sz w:val="24"/>
          <w:szCs w:val="24"/>
          <w:lang w:val="en-US"/>
        </w:rPr>
        <w:t>X</w:t>
      </w:r>
      <w:r w:rsidR="00A538E1" w:rsidRPr="002B0D95">
        <w:rPr>
          <w:rFonts w:ascii="Arial" w:hAnsi="Arial" w:cs="Arial"/>
          <w:sz w:val="24"/>
          <w:szCs w:val="24"/>
        </w:rPr>
        <w:t xml:space="preserve">1 </w:t>
      </w:r>
      <w:r w:rsidR="00A538E1">
        <w:rPr>
          <w:rFonts w:ascii="Arial" w:hAnsi="Arial" w:cs="Arial"/>
          <w:sz w:val="24"/>
          <w:szCs w:val="24"/>
          <w:lang w:val="en-US"/>
        </w:rPr>
        <w:t>per</w:t>
      </w:r>
      <w:r w:rsidR="00A538E1" w:rsidRPr="002B0D95">
        <w:rPr>
          <w:rFonts w:ascii="Arial" w:hAnsi="Arial" w:cs="Arial"/>
          <w:sz w:val="24"/>
          <w:szCs w:val="24"/>
        </w:rPr>
        <w:t xml:space="preserve"> </w:t>
      </w:r>
      <w:r w:rsidR="00A538E1">
        <w:rPr>
          <w:rFonts w:ascii="Arial" w:hAnsi="Arial" w:cs="Arial"/>
          <w:sz w:val="24"/>
          <w:szCs w:val="24"/>
          <w:lang w:val="en-US"/>
        </w:rPr>
        <w:t>os</w:t>
      </w:r>
      <w:r w:rsidR="002B0D95">
        <w:rPr>
          <w:rFonts w:ascii="Arial" w:hAnsi="Arial" w:cs="Arial"/>
          <w:sz w:val="24"/>
          <w:szCs w:val="24"/>
        </w:rPr>
        <w:t xml:space="preserve"> για 4 εβδομάδες και ακολουθούν 2 εβδομάδες χωρίς θεραπεία και μετά επαναλαμβάνεται ο κύκλος. Η δόση μπορεί να αυξάνεται ή να μειώνεται κατά 12,5mg, ανάλογα με την ανταπόκριση της νόσου ή την ανοχή του φαρμάκου. Οι συχνότερες παρενέργειες του φαρμάκου είναι: κόπωση, ανορεξία, διάρροια, κοιλιακό άλγος, ναυτία, στοματίτις και αποχρωματισμός του δέρματος.</w:t>
      </w:r>
    </w:p>
    <w:p w:rsidR="002B0D95" w:rsidRDefault="002B0D95" w:rsidP="006E422D">
      <w:pPr>
        <w:spacing w:line="240" w:lineRule="auto"/>
        <w:jc w:val="both"/>
        <w:rPr>
          <w:rFonts w:ascii="Arial" w:hAnsi="Arial" w:cs="Arial"/>
          <w:sz w:val="24"/>
          <w:szCs w:val="24"/>
        </w:rPr>
      </w:pPr>
      <w:r>
        <w:rPr>
          <w:rFonts w:ascii="Arial" w:hAnsi="Arial" w:cs="Arial"/>
          <w:sz w:val="24"/>
          <w:szCs w:val="24"/>
        </w:rPr>
        <w:tab/>
        <w:t>Ο ρόλος της συστηματικής χημειοθεραπείας έχει περιορισθεί σημαντικά μετά την εφαρμογή του imatinib, καθώς τα αποτελέσματά της είναι πενιχρά</w:t>
      </w:r>
      <w:r w:rsidR="008F57CE">
        <w:rPr>
          <w:rFonts w:ascii="Arial" w:hAnsi="Arial" w:cs="Arial"/>
          <w:sz w:val="24"/>
          <w:szCs w:val="24"/>
        </w:rPr>
        <w:t>. Σήμερα εφαρμόζεται μόνο σε περιπτώσεις που η χορήγηση του imatinib δεν είχε αποτέλεσμα. Τα καλύτερα αποτελέσματα αναφέρονται από τη χορήγηση χημειοθεραπευτικών σχημάτων με βάση την doxorubicin και την dacarbazine</w:t>
      </w:r>
      <w:r w:rsidR="00F71E76">
        <w:rPr>
          <w:rFonts w:ascii="Arial" w:hAnsi="Arial" w:cs="Arial"/>
          <w:sz w:val="24"/>
          <w:szCs w:val="24"/>
        </w:rPr>
        <w:t xml:space="preserve"> με ή χωρίς</w:t>
      </w:r>
      <w:r w:rsidR="008F57CE">
        <w:rPr>
          <w:rFonts w:ascii="Arial" w:hAnsi="Arial" w:cs="Arial"/>
          <w:sz w:val="24"/>
          <w:szCs w:val="24"/>
        </w:rPr>
        <w:t xml:space="preserve"> ifosfamide</w:t>
      </w:r>
      <w:r w:rsidR="00F71E76">
        <w:rPr>
          <w:rFonts w:ascii="Arial" w:hAnsi="Arial" w:cs="Arial"/>
          <w:sz w:val="24"/>
          <w:szCs w:val="24"/>
        </w:rPr>
        <w:t>. Μερική ανταπόκριση σημειώθηκε σε ποσοστό 15-27%.</w:t>
      </w:r>
      <w:r w:rsidR="00F71E76">
        <w:rPr>
          <w:rFonts w:ascii="Arial" w:hAnsi="Arial" w:cs="Arial"/>
          <w:sz w:val="24"/>
          <w:szCs w:val="24"/>
          <w:vertAlign w:val="superscript"/>
        </w:rPr>
        <w:t>48,49</w:t>
      </w:r>
      <w:r w:rsidR="00D65200">
        <w:rPr>
          <w:rFonts w:ascii="Arial" w:hAnsi="Arial" w:cs="Arial"/>
          <w:sz w:val="24"/>
          <w:szCs w:val="24"/>
        </w:rPr>
        <w:t xml:space="preserve"> </w:t>
      </w:r>
    </w:p>
    <w:p w:rsidR="00FB7F9C" w:rsidRDefault="00FB7F9C" w:rsidP="006E422D">
      <w:pPr>
        <w:spacing w:line="240" w:lineRule="auto"/>
        <w:jc w:val="both"/>
        <w:rPr>
          <w:rFonts w:ascii="Arial" w:hAnsi="Arial" w:cs="Arial"/>
          <w:sz w:val="24"/>
          <w:szCs w:val="24"/>
        </w:rPr>
      </w:pPr>
      <w:r>
        <w:rPr>
          <w:rFonts w:ascii="Arial" w:hAnsi="Arial" w:cs="Arial"/>
          <w:sz w:val="24"/>
          <w:szCs w:val="24"/>
        </w:rPr>
        <w:tab/>
        <w:t>Η ενδοπεριτοναϊκή χημειοθεραπεία εφαρμόσθηκε λόγω των απογοητευτικών αποτελεσμάτων της συστηματικής χημειοθεραπε</w:t>
      </w:r>
      <w:r w:rsidR="00142F3A">
        <w:rPr>
          <w:rFonts w:ascii="Arial" w:hAnsi="Arial" w:cs="Arial"/>
          <w:sz w:val="24"/>
          <w:szCs w:val="24"/>
        </w:rPr>
        <w:t>ίας και η</w:t>
      </w:r>
      <w:r>
        <w:rPr>
          <w:rFonts w:ascii="Arial" w:hAnsi="Arial" w:cs="Arial"/>
          <w:sz w:val="24"/>
          <w:szCs w:val="24"/>
        </w:rPr>
        <w:t xml:space="preserve"> χρήση της περιορίζεται σε περιπτπώσεις </w:t>
      </w:r>
      <w:r w:rsidR="00142F3A">
        <w:rPr>
          <w:rFonts w:ascii="Arial" w:hAnsi="Arial" w:cs="Arial"/>
          <w:sz w:val="24"/>
          <w:szCs w:val="24"/>
        </w:rPr>
        <w:t xml:space="preserve">αποτυχίας του imatinib, ως παρηγορική θεραπεία. Τα φάρμακα που έχουν χρησιμοποιηθεί είναι cisplatin με doxorubicin και mitoxantrone και κάποια ενθαρρυντικά αποτελέσματα </w:t>
      </w:r>
      <w:r w:rsidR="00422824">
        <w:rPr>
          <w:rFonts w:ascii="Arial" w:hAnsi="Arial" w:cs="Arial"/>
          <w:sz w:val="24"/>
          <w:szCs w:val="24"/>
        </w:rPr>
        <w:t>έχουν επιτευχθεί σε ασθενείς με νόσο που περιορίζεται στο περιτόναιο.</w:t>
      </w:r>
      <w:r w:rsidR="001B4226">
        <w:rPr>
          <w:rFonts w:ascii="Arial" w:hAnsi="Arial" w:cs="Arial"/>
          <w:sz w:val="24"/>
          <w:szCs w:val="24"/>
          <w:vertAlign w:val="superscript"/>
        </w:rPr>
        <w:t>50,51</w:t>
      </w:r>
      <w:r w:rsidR="00C30F39">
        <w:rPr>
          <w:rFonts w:ascii="Arial" w:hAnsi="Arial" w:cs="Arial"/>
          <w:sz w:val="24"/>
          <w:szCs w:val="24"/>
        </w:rPr>
        <w:t xml:space="preserve"> </w:t>
      </w:r>
    </w:p>
    <w:p w:rsidR="00C30F39" w:rsidRPr="00784A23" w:rsidRDefault="00C30F39" w:rsidP="006E422D">
      <w:pPr>
        <w:spacing w:line="240" w:lineRule="auto"/>
        <w:jc w:val="both"/>
        <w:rPr>
          <w:rFonts w:ascii="Arial" w:hAnsi="Arial" w:cs="Arial"/>
          <w:sz w:val="24"/>
          <w:szCs w:val="24"/>
        </w:rPr>
      </w:pPr>
      <w:r>
        <w:rPr>
          <w:rFonts w:ascii="Arial" w:hAnsi="Arial" w:cs="Arial"/>
          <w:sz w:val="24"/>
          <w:szCs w:val="24"/>
        </w:rPr>
        <w:tab/>
        <w:t xml:space="preserve">Η ακτινοθεραπεία δεν είναι ευρέως αποδεκτή ως μέθοδος επικουρικής θεραπείας των στρωματικών όγκων του γαστρεντερικού. Σποραδικές ανακοινώσεις αναφέρουν την εφαρμογή της σε όγκους συμφυόμενους με το κοιλιακό τοίχωμα ή παρακείμενα όργανα. </w:t>
      </w:r>
      <w:r w:rsidR="00E0652D">
        <w:rPr>
          <w:rFonts w:ascii="Arial" w:hAnsi="Arial" w:cs="Arial"/>
          <w:sz w:val="24"/>
          <w:szCs w:val="24"/>
        </w:rPr>
        <w:t>Την αποτελεσματικότητά της περιορίζουν η κινητικότητα των ελίκων του εντέρου και η ευαισθησία των ενδοκοιλιακών οργάνων στη χορήγηση μεγάλων δόσεων ακτινοβολίας. Ο Crosby αμφισβήτησε την αξία της, καθώς περιέγραψε υποτροπές της νόσου εντός και εκτός του πεδίου ακτινοβόλησης.</w:t>
      </w:r>
    </w:p>
    <w:p w:rsidR="00890E65" w:rsidRDefault="00890E65" w:rsidP="006E422D">
      <w:pPr>
        <w:spacing w:line="240" w:lineRule="auto"/>
        <w:jc w:val="both"/>
        <w:rPr>
          <w:rFonts w:ascii="Arial" w:hAnsi="Arial" w:cs="Arial"/>
          <w:b/>
          <w:i/>
          <w:sz w:val="24"/>
          <w:szCs w:val="24"/>
        </w:rPr>
      </w:pPr>
      <w:r w:rsidRPr="00784A23">
        <w:rPr>
          <w:rFonts w:ascii="Arial" w:hAnsi="Arial" w:cs="Arial"/>
          <w:sz w:val="24"/>
          <w:szCs w:val="24"/>
        </w:rPr>
        <w:lastRenderedPageBreak/>
        <w:tab/>
      </w:r>
      <w:r>
        <w:rPr>
          <w:rFonts w:ascii="Arial" w:hAnsi="Arial" w:cs="Arial"/>
          <w:b/>
          <w:i/>
          <w:sz w:val="24"/>
          <w:szCs w:val="24"/>
        </w:rPr>
        <w:t>Πρόγνωση</w:t>
      </w:r>
    </w:p>
    <w:p w:rsidR="00890E65" w:rsidRDefault="00890E65" w:rsidP="006E422D">
      <w:pPr>
        <w:spacing w:line="240" w:lineRule="auto"/>
        <w:jc w:val="both"/>
        <w:rPr>
          <w:rFonts w:ascii="Arial" w:hAnsi="Arial" w:cs="Arial"/>
          <w:sz w:val="24"/>
          <w:szCs w:val="24"/>
        </w:rPr>
      </w:pPr>
      <w:r>
        <w:rPr>
          <w:rFonts w:ascii="Arial" w:hAnsi="Arial" w:cs="Arial"/>
          <w:sz w:val="24"/>
          <w:szCs w:val="24"/>
        </w:rPr>
        <w:tab/>
        <w:t>Οι στρωματικοί όγκοι του γαστρεντερικού εμφανίζουν ευρύ φάσμα κλινικής συμπεριφοράς, από βραδέως αναπτυσσόμενους και «αθόρυβους» όγκους, έως επιθετικούς και κακοήθεις με τάση να διηθούν παρακείμενα όργανα, να μεθίστανται, κυρίως στο ήπαρ και να υποτροπιάζουν τοπικά.</w:t>
      </w:r>
    </w:p>
    <w:p w:rsidR="004C7C45" w:rsidRDefault="006C4847" w:rsidP="00CD1E40">
      <w:pPr>
        <w:spacing w:line="240" w:lineRule="auto"/>
        <w:ind w:firstLine="720"/>
        <w:jc w:val="both"/>
        <w:rPr>
          <w:rFonts w:ascii="Arial" w:hAnsi="Arial" w:cs="Arial"/>
          <w:sz w:val="24"/>
          <w:szCs w:val="24"/>
        </w:rPr>
      </w:pPr>
      <w:r>
        <w:rPr>
          <w:rFonts w:ascii="Arial" w:hAnsi="Arial" w:cs="Arial"/>
          <w:sz w:val="24"/>
          <w:szCs w:val="24"/>
        </w:rPr>
        <w:t>Οι σημαντικότεροι προγνωστικοί παράγοντες περιλαμβάνουν το μέγεθος του όγκου, τη συχνότητα των μιτώσεων και τη δυνατότητα ριζικής εκτομής του όγκου με επίτευξη αρνητικών χειρουργικών ορίων. Δι</w:t>
      </w:r>
      <w:r w:rsidR="00784A23">
        <w:rPr>
          <w:rFonts w:ascii="Arial" w:hAnsi="Arial" w:cs="Arial"/>
          <w:sz w:val="24"/>
          <w:szCs w:val="24"/>
        </w:rPr>
        <w:t>άφορες μελέτες αναφέρουν 5/ετή επιβίωση 30-60%, ενώ η διαφορά, στην επιβίωση, μεταξύ ασθενών με περιορισμένη νόσο (μέση επιβίωση 5 χρόνια) και ασθενών με μεταστάσεις ή υποτροπή της νόσου (μέση επιβίωση 10-20 μήνες)</w:t>
      </w:r>
      <w:r w:rsidR="0056668B">
        <w:rPr>
          <w:rFonts w:ascii="Arial" w:hAnsi="Arial" w:cs="Arial"/>
          <w:sz w:val="24"/>
          <w:szCs w:val="24"/>
        </w:rPr>
        <w:t>,</w:t>
      </w:r>
      <w:r w:rsidR="00784A23">
        <w:rPr>
          <w:rFonts w:ascii="Arial" w:hAnsi="Arial" w:cs="Arial"/>
          <w:sz w:val="24"/>
          <w:szCs w:val="24"/>
        </w:rPr>
        <w:t xml:space="preserve"> είναι μεγάλη.</w:t>
      </w:r>
      <w:r w:rsidR="009F646B">
        <w:rPr>
          <w:rFonts w:ascii="Arial" w:hAnsi="Arial" w:cs="Arial"/>
          <w:sz w:val="24"/>
          <w:szCs w:val="24"/>
          <w:vertAlign w:val="superscript"/>
        </w:rPr>
        <w:t>52,53,54</w:t>
      </w:r>
      <w:r w:rsidR="009F646B">
        <w:rPr>
          <w:rFonts w:ascii="Arial" w:hAnsi="Arial" w:cs="Arial"/>
          <w:sz w:val="24"/>
          <w:szCs w:val="24"/>
        </w:rPr>
        <w:t xml:space="preserve"> </w:t>
      </w:r>
      <w:r w:rsidR="00801FD2">
        <w:rPr>
          <w:rFonts w:ascii="Arial" w:hAnsi="Arial" w:cs="Arial"/>
          <w:sz w:val="24"/>
          <w:szCs w:val="24"/>
        </w:rPr>
        <w:t>Τη σημασία του αριθμού των μιτώσεων, ως προγνωστικού δείκτη και δείκτη της βιολογικής συμπεριφοράς του όγκου, προσδιόρισε ο Dougherty το 1991.</w:t>
      </w:r>
      <w:r w:rsidR="004C7C45">
        <w:rPr>
          <w:rFonts w:ascii="Arial" w:hAnsi="Arial" w:cs="Arial"/>
          <w:sz w:val="24"/>
          <w:szCs w:val="24"/>
          <w:vertAlign w:val="superscript"/>
        </w:rPr>
        <w:t>55</w:t>
      </w:r>
      <w:r w:rsidR="004C7C45">
        <w:rPr>
          <w:rFonts w:ascii="Arial" w:hAnsi="Arial" w:cs="Arial"/>
          <w:sz w:val="24"/>
          <w:szCs w:val="24"/>
        </w:rPr>
        <w:t xml:space="preserve"> Διαπίστωσε ότι, έστω και μετά ριζική εκτομή του όγκου, οι ασθενείς με αριθμό μιτώσεων &gt;10/50 HPFs είχαν μέση επιβίωση 18 μήνες. Αντίθετα, οι ασθενείς με αριθμό μιτώσεων &lt;10/50 HPFs είχαν, σε ποσοστό 80%, επιβίωση ελεύθερης νόσου 8 χρόνια.</w:t>
      </w:r>
    </w:p>
    <w:p w:rsidR="00C360D3" w:rsidRDefault="004C7C45" w:rsidP="00CD1E40">
      <w:pPr>
        <w:spacing w:line="240" w:lineRule="auto"/>
        <w:ind w:firstLine="720"/>
        <w:jc w:val="both"/>
        <w:rPr>
          <w:rFonts w:ascii="Arial" w:hAnsi="Arial" w:cs="Arial"/>
          <w:sz w:val="24"/>
          <w:szCs w:val="24"/>
        </w:rPr>
      </w:pPr>
      <w:r>
        <w:rPr>
          <w:rFonts w:ascii="Arial" w:hAnsi="Arial" w:cs="Arial"/>
          <w:sz w:val="24"/>
          <w:szCs w:val="24"/>
        </w:rPr>
        <w:t xml:space="preserve">Το 2002 ο </w:t>
      </w:r>
      <w:r>
        <w:rPr>
          <w:rFonts w:ascii="Arial" w:hAnsi="Arial" w:cs="Arial"/>
          <w:sz w:val="24"/>
          <w:szCs w:val="24"/>
          <w:lang w:val="en-US"/>
        </w:rPr>
        <w:t>Fletcher</w:t>
      </w:r>
      <w:r w:rsidRPr="004C7C45">
        <w:rPr>
          <w:rFonts w:ascii="Arial" w:hAnsi="Arial" w:cs="Arial"/>
          <w:sz w:val="24"/>
          <w:szCs w:val="24"/>
        </w:rPr>
        <w:t xml:space="preserve"> και οι συνεργ</w:t>
      </w:r>
      <w:r>
        <w:rPr>
          <w:rFonts w:ascii="Arial" w:hAnsi="Arial" w:cs="Arial"/>
          <w:sz w:val="24"/>
          <w:szCs w:val="24"/>
        </w:rPr>
        <w:t>άτες του δημιούργησαν ένα σύστημα προσδιορισμού της επιθετικής ή κακοήθους συμπεριφοράς των GISTs ανάλογα με το μέγεθος του όγκου και της συχνότητας των μιτώσεων.</w:t>
      </w:r>
      <w:r w:rsidR="00972E23">
        <w:rPr>
          <w:rFonts w:ascii="Arial" w:hAnsi="Arial" w:cs="Arial"/>
          <w:sz w:val="24"/>
          <w:szCs w:val="24"/>
          <w:vertAlign w:val="superscript"/>
        </w:rPr>
        <w:t>56</w:t>
      </w:r>
      <w:r w:rsidR="00C360D3">
        <w:rPr>
          <w:rFonts w:ascii="Arial" w:hAnsi="Arial" w:cs="Arial"/>
          <w:sz w:val="24"/>
          <w:szCs w:val="24"/>
        </w:rPr>
        <w:t xml:space="preserve"> </w:t>
      </w:r>
    </w:p>
    <w:p w:rsidR="006C4847" w:rsidRPr="00C360D3" w:rsidRDefault="00C360D3" w:rsidP="003E071D">
      <w:pPr>
        <w:pStyle w:val="ListParagraph"/>
        <w:numPr>
          <w:ilvl w:val="0"/>
          <w:numId w:val="17"/>
        </w:numPr>
        <w:spacing w:line="240" w:lineRule="auto"/>
        <w:jc w:val="both"/>
        <w:rPr>
          <w:rFonts w:ascii="Arial" w:hAnsi="Arial" w:cs="Arial"/>
          <w:sz w:val="24"/>
          <w:szCs w:val="24"/>
        </w:rPr>
      </w:pPr>
      <w:r>
        <w:rPr>
          <w:rFonts w:ascii="Arial" w:hAnsi="Arial" w:cs="Arial"/>
          <w:sz w:val="24"/>
          <w:szCs w:val="24"/>
        </w:rPr>
        <w:t xml:space="preserve">Πολύ μικρού κινδύνου: όγκοι &lt;2εκ, μιτώσεις &lt;5/50 </w:t>
      </w:r>
      <w:r>
        <w:rPr>
          <w:rFonts w:ascii="Arial" w:hAnsi="Arial" w:cs="Arial"/>
          <w:sz w:val="24"/>
          <w:szCs w:val="24"/>
          <w:lang w:val="en-US"/>
        </w:rPr>
        <w:t>HPFs</w:t>
      </w:r>
    </w:p>
    <w:p w:rsidR="00C360D3" w:rsidRDefault="00C360D3" w:rsidP="003E071D">
      <w:pPr>
        <w:pStyle w:val="ListParagraph"/>
        <w:numPr>
          <w:ilvl w:val="0"/>
          <w:numId w:val="17"/>
        </w:numPr>
        <w:spacing w:line="240" w:lineRule="auto"/>
        <w:jc w:val="both"/>
        <w:rPr>
          <w:rFonts w:ascii="Arial" w:hAnsi="Arial" w:cs="Arial"/>
          <w:sz w:val="24"/>
          <w:szCs w:val="24"/>
        </w:rPr>
      </w:pPr>
      <w:r>
        <w:rPr>
          <w:rFonts w:ascii="Arial" w:hAnsi="Arial" w:cs="Arial"/>
          <w:sz w:val="24"/>
          <w:szCs w:val="24"/>
        </w:rPr>
        <w:t>Μικρού κινδύνου: όγκοι 2-5 εκ, μιτώσεις &lt;5/50 HPFs</w:t>
      </w:r>
    </w:p>
    <w:p w:rsidR="00865F62" w:rsidRPr="009B101B" w:rsidRDefault="00C360D3" w:rsidP="003E071D">
      <w:pPr>
        <w:pStyle w:val="ListParagraph"/>
        <w:numPr>
          <w:ilvl w:val="0"/>
          <w:numId w:val="17"/>
        </w:numPr>
        <w:spacing w:line="240" w:lineRule="auto"/>
        <w:jc w:val="both"/>
        <w:rPr>
          <w:rFonts w:ascii="Arial" w:hAnsi="Arial" w:cs="Arial"/>
          <w:b/>
          <w:i/>
          <w:sz w:val="24"/>
          <w:szCs w:val="24"/>
        </w:rPr>
      </w:pPr>
      <w:r w:rsidRPr="009B101B">
        <w:rPr>
          <w:rFonts w:ascii="Arial" w:hAnsi="Arial" w:cs="Arial"/>
          <w:sz w:val="24"/>
          <w:szCs w:val="24"/>
        </w:rPr>
        <w:t xml:space="preserve">Μέσου κινδύνου: </w:t>
      </w:r>
      <w:r w:rsidR="009B101B" w:rsidRPr="009B101B">
        <w:rPr>
          <w:rFonts w:ascii="Arial" w:hAnsi="Arial" w:cs="Arial"/>
          <w:sz w:val="24"/>
          <w:szCs w:val="24"/>
        </w:rPr>
        <w:t>είτε όγκοι &lt;5εκ και μιτώσεις 6-10/50 HPFs,</w:t>
      </w:r>
      <w:r w:rsidR="00865F62" w:rsidRPr="009B101B">
        <w:rPr>
          <w:rFonts w:ascii="Arial" w:hAnsi="Arial" w:cs="Arial"/>
          <w:sz w:val="24"/>
          <w:szCs w:val="24"/>
        </w:rPr>
        <w:tab/>
      </w:r>
    </w:p>
    <w:p w:rsidR="006067AB" w:rsidRDefault="00AC1F15" w:rsidP="009B101B">
      <w:pPr>
        <w:spacing w:line="240" w:lineRule="auto"/>
        <w:ind w:left="796"/>
        <w:jc w:val="both"/>
        <w:rPr>
          <w:rFonts w:ascii="Arial" w:hAnsi="Arial" w:cs="Arial"/>
          <w:sz w:val="24"/>
          <w:szCs w:val="24"/>
        </w:rPr>
      </w:pPr>
      <w:r w:rsidRPr="009B101B">
        <w:rPr>
          <w:rFonts w:ascii="Arial" w:hAnsi="Arial" w:cs="Arial"/>
          <w:b/>
          <w:i/>
          <w:sz w:val="24"/>
          <w:szCs w:val="24"/>
        </w:rPr>
        <w:t xml:space="preserve"> </w:t>
      </w:r>
      <w:r w:rsidR="00222E2E" w:rsidRPr="009B101B">
        <w:rPr>
          <w:rFonts w:ascii="Arial" w:hAnsi="Arial" w:cs="Arial"/>
          <w:sz w:val="24"/>
          <w:szCs w:val="24"/>
        </w:rPr>
        <w:t xml:space="preserve"> </w:t>
      </w:r>
      <w:r w:rsidR="007B4E8F" w:rsidRPr="009B101B">
        <w:rPr>
          <w:rFonts w:ascii="Arial" w:hAnsi="Arial" w:cs="Arial"/>
          <w:sz w:val="24"/>
          <w:szCs w:val="24"/>
        </w:rPr>
        <w:t xml:space="preserve"> </w:t>
      </w:r>
      <w:r w:rsidR="00203837" w:rsidRPr="009B101B">
        <w:rPr>
          <w:rFonts w:ascii="Arial" w:hAnsi="Arial" w:cs="Arial"/>
          <w:sz w:val="24"/>
          <w:szCs w:val="24"/>
        </w:rPr>
        <w:t xml:space="preserve"> </w:t>
      </w:r>
      <w:r w:rsidR="009B101B" w:rsidRPr="009B101B">
        <w:rPr>
          <w:rFonts w:ascii="Arial" w:hAnsi="Arial" w:cs="Arial"/>
          <w:sz w:val="24"/>
          <w:szCs w:val="24"/>
        </w:rPr>
        <w:tab/>
      </w:r>
      <w:r w:rsidR="009B101B" w:rsidRPr="009B101B">
        <w:rPr>
          <w:rFonts w:ascii="Arial" w:hAnsi="Arial" w:cs="Arial"/>
          <w:sz w:val="24"/>
          <w:szCs w:val="24"/>
        </w:rPr>
        <w:tab/>
        <w:t xml:space="preserve">       </w:t>
      </w:r>
      <w:r w:rsidR="009B101B">
        <w:rPr>
          <w:rFonts w:ascii="Arial" w:hAnsi="Arial" w:cs="Arial"/>
          <w:sz w:val="24"/>
          <w:szCs w:val="24"/>
        </w:rPr>
        <w:t xml:space="preserve">           ή όγκοι 5-10 εκ και μιτώσεις</w:t>
      </w:r>
      <w:r w:rsidR="006067AB">
        <w:rPr>
          <w:rFonts w:ascii="Arial" w:hAnsi="Arial" w:cs="Arial"/>
          <w:sz w:val="24"/>
          <w:szCs w:val="24"/>
        </w:rPr>
        <w:t xml:space="preserve"> &lt;5/50 HPFs</w:t>
      </w:r>
    </w:p>
    <w:p w:rsidR="009B101B" w:rsidRDefault="006067AB" w:rsidP="003E071D">
      <w:pPr>
        <w:pStyle w:val="ListParagraph"/>
        <w:numPr>
          <w:ilvl w:val="0"/>
          <w:numId w:val="18"/>
        </w:numPr>
        <w:spacing w:line="240" w:lineRule="auto"/>
        <w:jc w:val="both"/>
        <w:rPr>
          <w:rFonts w:ascii="Arial" w:hAnsi="Arial" w:cs="Arial"/>
          <w:sz w:val="24"/>
          <w:szCs w:val="24"/>
        </w:rPr>
      </w:pPr>
      <w:r w:rsidRPr="006067AB">
        <w:rPr>
          <w:rFonts w:ascii="Arial" w:hAnsi="Arial" w:cs="Arial"/>
          <w:sz w:val="24"/>
          <w:szCs w:val="24"/>
        </w:rPr>
        <w:t>Μεγ</w:t>
      </w:r>
      <w:r>
        <w:rPr>
          <w:rFonts w:ascii="Arial" w:hAnsi="Arial" w:cs="Arial"/>
          <w:sz w:val="24"/>
          <w:szCs w:val="24"/>
        </w:rPr>
        <w:t>άλου κινδύνου: είτε όγκοι &gt;5εκ και μιτώσεις &gt;5/50 HPFs</w:t>
      </w:r>
    </w:p>
    <w:p w:rsidR="006067AB" w:rsidRDefault="006067AB" w:rsidP="006067AB">
      <w:pPr>
        <w:spacing w:line="240" w:lineRule="auto"/>
        <w:ind w:left="3600"/>
        <w:jc w:val="both"/>
        <w:rPr>
          <w:rFonts w:ascii="Arial" w:hAnsi="Arial" w:cs="Arial"/>
          <w:sz w:val="24"/>
          <w:szCs w:val="24"/>
        </w:rPr>
      </w:pPr>
      <w:r w:rsidRPr="006067AB">
        <w:rPr>
          <w:rFonts w:ascii="Arial" w:hAnsi="Arial" w:cs="Arial"/>
          <w:sz w:val="24"/>
          <w:szCs w:val="24"/>
        </w:rPr>
        <w:t xml:space="preserve"> </w:t>
      </w:r>
      <w:r w:rsidR="00CD1E40">
        <w:rPr>
          <w:rFonts w:ascii="Arial" w:hAnsi="Arial" w:cs="Arial"/>
          <w:sz w:val="24"/>
          <w:szCs w:val="24"/>
        </w:rPr>
        <w:t>ή</w:t>
      </w:r>
      <w:r>
        <w:rPr>
          <w:rFonts w:ascii="Arial" w:hAnsi="Arial" w:cs="Arial"/>
          <w:sz w:val="24"/>
          <w:szCs w:val="24"/>
        </w:rPr>
        <w:t xml:space="preserve"> όγκοι &gt;10εκ και όποιος αριθμός </w:t>
      </w:r>
      <w:r w:rsidR="00CD1E40">
        <w:rPr>
          <w:rFonts w:ascii="Arial" w:hAnsi="Arial" w:cs="Arial"/>
          <w:sz w:val="24"/>
          <w:szCs w:val="24"/>
        </w:rPr>
        <w:t xml:space="preserve">     </w:t>
      </w:r>
      <w:r>
        <w:rPr>
          <w:rFonts w:ascii="Arial" w:hAnsi="Arial" w:cs="Arial"/>
          <w:sz w:val="24"/>
          <w:szCs w:val="24"/>
        </w:rPr>
        <w:t>μιτώσεων</w:t>
      </w:r>
    </w:p>
    <w:p w:rsidR="00CD1E40" w:rsidRPr="00AE406B" w:rsidRDefault="00CD1E40" w:rsidP="006067AB">
      <w:pPr>
        <w:spacing w:line="240" w:lineRule="auto"/>
        <w:ind w:left="3600"/>
        <w:jc w:val="both"/>
        <w:rPr>
          <w:rFonts w:ascii="Arial" w:hAnsi="Arial" w:cs="Arial"/>
          <w:sz w:val="24"/>
          <w:szCs w:val="24"/>
        </w:rPr>
      </w:pPr>
      <w:r>
        <w:rPr>
          <w:rFonts w:ascii="Arial" w:hAnsi="Arial" w:cs="Arial"/>
          <w:sz w:val="24"/>
          <w:szCs w:val="24"/>
        </w:rPr>
        <w:t xml:space="preserve"> ή όποιο μέγεθος όγκου και μιτώσεις &gt;10/50 HPFs</w:t>
      </w:r>
    </w:p>
    <w:p w:rsidR="00CD1E40" w:rsidRDefault="00CD1E40" w:rsidP="00CD1E40">
      <w:pPr>
        <w:spacing w:line="240" w:lineRule="auto"/>
        <w:jc w:val="both"/>
        <w:rPr>
          <w:rFonts w:ascii="Arial" w:hAnsi="Arial" w:cs="Arial"/>
          <w:sz w:val="24"/>
          <w:szCs w:val="24"/>
        </w:rPr>
      </w:pPr>
      <w:r w:rsidRPr="00AE406B">
        <w:rPr>
          <w:rFonts w:ascii="Arial" w:hAnsi="Arial" w:cs="Arial"/>
          <w:sz w:val="24"/>
          <w:szCs w:val="24"/>
        </w:rPr>
        <w:tab/>
      </w:r>
      <w:r>
        <w:rPr>
          <w:rFonts w:ascii="Arial" w:hAnsi="Arial" w:cs="Arial"/>
          <w:sz w:val="24"/>
          <w:szCs w:val="24"/>
        </w:rPr>
        <w:t xml:space="preserve">Το 2003 ο Besana-Ciani δημοσίευσε 5/ετή επιβίωση </w:t>
      </w:r>
      <w:r w:rsidR="00170E26">
        <w:rPr>
          <w:rFonts w:ascii="Arial" w:hAnsi="Arial" w:cs="Arial"/>
          <w:sz w:val="24"/>
          <w:szCs w:val="24"/>
        </w:rPr>
        <w:t>63%, για ασθενείς των τριών πρώτων κατηγοριών του συστήματος του Fletcher και 34% για τους ασθενείς της τελευταίας κατηγορίας.</w:t>
      </w:r>
      <w:r w:rsidR="00170E26">
        <w:rPr>
          <w:rFonts w:ascii="Arial" w:hAnsi="Arial" w:cs="Arial"/>
          <w:sz w:val="24"/>
          <w:szCs w:val="24"/>
          <w:vertAlign w:val="superscript"/>
        </w:rPr>
        <w:t>45</w:t>
      </w:r>
      <w:r w:rsidR="00170E26">
        <w:rPr>
          <w:rFonts w:ascii="Arial" w:hAnsi="Arial" w:cs="Arial"/>
          <w:sz w:val="24"/>
          <w:szCs w:val="24"/>
        </w:rPr>
        <w:t xml:space="preserve"> </w:t>
      </w:r>
      <w:r>
        <w:rPr>
          <w:rFonts w:ascii="Arial" w:hAnsi="Arial" w:cs="Arial"/>
          <w:sz w:val="24"/>
          <w:szCs w:val="24"/>
        </w:rPr>
        <w:t xml:space="preserve"> </w:t>
      </w:r>
    </w:p>
    <w:p w:rsidR="00887EAB" w:rsidRDefault="00887EAB" w:rsidP="00CD1E40">
      <w:pPr>
        <w:spacing w:line="240" w:lineRule="auto"/>
        <w:jc w:val="both"/>
        <w:rPr>
          <w:rFonts w:ascii="Arial" w:hAnsi="Arial" w:cs="Arial"/>
          <w:sz w:val="24"/>
          <w:szCs w:val="24"/>
        </w:rPr>
      </w:pPr>
      <w:r>
        <w:rPr>
          <w:rFonts w:ascii="Arial" w:hAnsi="Arial" w:cs="Arial"/>
          <w:sz w:val="24"/>
          <w:szCs w:val="24"/>
        </w:rPr>
        <w:tab/>
      </w:r>
      <w:r>
        <w:rPr>
          <w:rFonts w:ascii="Arial" w:hAnsi="Arial" w:cs="Arial"/>
          <w:b/>
          <w:i/>
          <w:sz w:val="24"/>
          <w:szCs w:val="24"/>
        </w:rPr>
        <w:t>Παρακολούθηση</w:t>
      </w:r>
    </w:p>
    <w:p w:rsidR="00887EAB" w:rsidRDefault="00887EAB" w:rsidP="00CD1E40">
      <w:pPr>
        <w:spacing w:line="240" w:lineRule="auto"/>
        <w:jc w:val="both"/>
        <w:rPr>
          <w:rFonts w:ascii="Arial" w:hAnsi="Arial" w:cs="Arial"/>
          <w:sz w:val="24"/>
          <w:szCs w:val="24"/>
        </w:rPr>
      </w:pPr>
      <w:r>
        <w:rPr>
          <w:rFonts w:ascii="Arial" w:hAnsi="Arial" w:cs="Arial"/>
          <w:sz w:val="24"/>
          <w:szCs w:val="24"/>
        </w:rPr>
        <w:tab/>
      </w:r>
      <w:r w:rsidR="00E168CA">
        <w:rPr>
          <w:rFonts w:ascii="Arial" w:hAnsi="Arial" w:cs="Arial"/>
          <w:sz w:val="24"/>
          <w:szCs w:val="24"/>
        </w:rPr>
        <w:t>Στους ασθενείς πρέπει να τονισθεί η ανάγκη συστηματικής και στενής, δια βίου, παρακολούθησης, καθώς οι στρωματικοί όγκοι έχουν την τάση να υποτροπιάζουν, έστω και μετά ριζική εκτομή. Η παρακολούθηση πρέπει να περιλαμβάνει:</w:t>
      </w:r>
    </w:p>
    <w:p w:rsidR="00E168CA" w:rsidRDefault="00E168CA" w:rsidP="003E071D">
      <w:pPr>
        <w:pStyle w:val="ListParagraph"/>
        <w:numPr>
          <w:ilvl w:val="0"/>
          <w:numId w:val="18"/>
        </w:numPr>
        <w:spacing w:line="240" w:lineRule="auto"/>
        <w:jc w:val="both"/>
        <w:rPr>
          <w:rFonts w:ascii="Arial" w:hAnsi="Arial" w:cs="Arial"/>
          <w:sz w:val="24"/>
          <w:szCs w:val="24"/>
        </w:rPr>
      </w:pPr>
      <w:r>
        <w:rPr>
          <w:rFonts w:ascii="Arial" w:hAnsi="Arial" w:cs="Arial"/>
          <w:sz w:val="24"/>
          <w:szCs w:val="24"/>
        </w:rPr>
        <w:t>Περιοδική κλινική εξέταση</w:t>
      </w:r>
    </w:p>
    <w:p w:rsidR="00E168CA" w:rsidRDefault="00E168CA" w:rsidP="003E071D">
      <w:pPr>
        <w:pStyle w:val="ListParagraph"/>
        <w:numPr>
          <w:ilvl w:val="0"/>
          <w:numId w:val="18"/>
        </w:numPr>
        <w:spacing w:line="240" w:lineRule="auto"/>
        <w:jc w:val="both"/>
        <w:rPr>
          <w:rFonts w:ascii="Arial" w:hAnsi="Arial" w:cs="Arial"/>
          <w:sz w:val="24"/>
          <w:szCs w:val="24"/>
        </w:rPr>
      </w:pPr>
      <w:r>
        <w:rPr>
          <w:rFonts w:ascii="Arial" w:hAnsi="Arial" w:cs="Arial"/>
          <w:sz w:val="24"/>
          <w:szCs w:val="24"/>
        </w:rPr>
        <w:t xml:space="preserve">Περιοδική εκτέλεση αξονικής τομογραφίας, η οποία δυνατό να ανακαλύψει τοπική υποτροπή της νόσου ή την παρουσία </w:t>
      </w:r>
      <w:r>
        <w:rPr>
          <w:rFonts w:ascii="Arial" w:hAnsi="Arial" w:cs="Arial"/>
          <w:sz w:val="24"/>
          <w:szCs w:val="24"/>
        </w:rPr>
        <w:lastRenderedPageBreak/>
        <w:t>μεταστάσεων. Η ιδανική συχνότητα επανάληψης της εξέτασης δεν είναι ακόμα γνωστή.</w:t>
      </w:r>
    </w:p>
    <w:p w:rsidR="00E168CA" w:rsidRPr="00AE406B" w:rsidRDefault="00E168CA" w:rsidP="003E071D">
      <w:pPr>
        <w:pStyle w:val="ListParagraph"/>
        <w:numPr>
          <w:ilvl w:val="0"/>
          <w:numId w:val="18"/>
        </w:numPr>
        <w:spacing w:line="240" w:lineRule="auto"/>
        <w:jc w:val="both"/>
        <w:rPr>
          <w:rFonts w:ascii="Arial" w:hAnsi="Arial" w:cs="Arial"/>
          <w:sz w:val="24"/>
          <w:szCs w:val="24"/>
        </w:rPr>
      </w:pPr>
      <w:r>
        <w:rPr>
          <w:rFonts w:ascii="Arial" w:hAnsi="Arial" w:cs="Arial"/>
          <w:sz w:val="24"/>
          <w:szCs w:val="24"/>
        </w:rPr>
        <w:t xml:space="preserve">Το </w:t>
      </w:r>
      <w:r>
        <w:rPr>
          <w:rFonts w:ascii="Arial" w:hAnsi="Arial" w:cs="Arial"/>
          <w:sz w:val="24"/>
          <w:szCs w:val="24"/>
          <w:lang w:val="en-US"/>
        </w:rPr>
        <w:t>PET</w:t>
      </w:r>
      <w:r w:rsidRPr="00E168CA">
        <w:rPr>
          <w:rFonts w:ascii="Arial" w:hAnsi="Arial" w:cs="Arial"/>
          <w:sz w:val="24"/>
          <w:szCs w:val="24"/>
        </w:rPr>
        <w:t xml:space="preserve"> </w:t>
      </w:r>
      <w:r>
        <w:rPr>
          <w:rFonts w:ascii="Arial" w:hAnsi="Arial" w:cs="Arial"/>
          <w:sz w:val="24"/>
          <w:szCs w:val="24"/>
          <w:lang w:val="en-US"/>
        </w:rPr>
        <w:t>scan</w:t>
      </w:r>
      <w:r>
        <w:rPr>
          <w:rFonts w:ascii="Arial" w:hAnsi="Arial" w:cs="Arial"/>
          <w:sz w:val="24"/>
          <w:szCs w:val="24"/>
        </w:rPr>
        <w:t xml:space="preserve"> ενδείκνυται, κυρίως, σε ασθενείς που λαμβάνουν imatinib</w:t>
      </w:r>
      <w:r w:rsidR="00990C9F">
        <w:rPr>
          <w:rFonts w:ascii="Arial" w:hAnsi="Arial" w:cs="Arial"/>
          <w:sz w:val="24"/>
          <w:szCs w:val="24"/>
        </w:rPr>
        <w:t>, λόγω ατελούς εκτομής, υποτροπής ή μεταστατικής νόσου.</w:t>
      </w:r>
    </w:p>
    <w:p w:rsidR="00AE406B" w:rsidRDefault="00AE406B" w:rsidP="00AE406B">
      <w:pPr>
        <w:spacing w:line="240" w:lineRule="auto"/>
        <w:ind w:left="720"/>
        <w:jc w:val="both"/>
        <w:rPr>
          <w:rFonts w:ascii="Arial" w:hAnsi="Arial" w:cs="Arial"/>
          <w:b/>
          <w:sz w:val="24"/>
          <w:szCs w:val="24"/>
        </w:rPr>
      </w:pPr>
    </w:p>
    <w:p w:rsidR="00AE406B" w:rsidRDefault="00AE406B" w:rsidP="00AE406B">
      <w:pPr>
        <w:spacing w:line="240" w:lineRule="auto"/>
        <w:ind w:left="720"/>
        <w:jc w:val="both"/>
        <w:rPr>
          <w:rFonts w:ascii="Arial" w:hAnsi="Arial" w:cs="Arial"/>
          <w:b/>
          <w:sz w:val="24"/>
          <w:szCs w:val="24"/>
        </w:rPr>
      </w:pPr>
      <w:r>
        <w:rPr>
          <w:rFonts w:ascii="Arial" w:hAnsi="Arial" w:cs="Arial"/>
          <w:b/>
          <w:sz w:val="24"/>
          <w:szCs w:val="24"/>
        </w:rPr>
        <w:t>ΜΕΛΑΝΩΜΑ</w:t>
      </w:r>
    </w:p>
    <w:p w:rsidR="00AE406B" w:rsidRDefault="00AE406B" w:rsidP="00AE406B">
      <w:pPr>
        <w:spacing w:line="240" w:lineRule="auto"/>
        <w:ind w:left="720"/>
        <w:jc w:val="both"/>
        <w:rPr>
          <w:rFonts w:ascii="Arial" w:hAnsi="Arial" w:cs="Arial"/>
          <w:sz w:val="24"/>
          <w:szCs w:val="24"/>
        </w:rPr>
      </w:pPr>
      <w:r>
        <w:rPr>
          <w:rFonts w:ascii="Arial" w:hAnsi="Arial" w:cs="Arial"/>
          <w:sz w:val="24"/>
          <w:szCs w:val="24"/>
        </w:rPr>
        <w:t>Το μελάνωμα είναι ένα κακόηθες νεόπλασμα, το οποίο αποτελεί</w:t>
      </w:r>
    </w:p>
    <w:p w:rsidR="00AE406B" w:rsidRDefault="00AE406B" w:rsidP="00AE406B">
      <w:pPr>
        <w:spacing w:line="240" w:lineRule="auto"/>
        <w:jc w:val="both"/>
        <w:rPr>
          <w:rFonts w:ascii="Arial" w:hAnsi="Arial" w:cs="Arial"/>
          <w:sz w:val="24"/>
          <w:szCs w:val="24"/>
        </w:rPr>
      </w:pPr>
      <w:r>
        <w:rPr>
          <w:rFonts w:ascii="Arial" w:hAnsi="Arial" w:cs="Arial"/>
          <w:sz w:val="24"/>
          <w:szCs w:val="24"/>
        </w:rPr>
        <w:t>ποσοστό 1-3% όλων των κακοήθων νεοπλασμάτων. Το πρωτοπαθές μελάνωμα του λεπτού εντέρου είναι εξαιρετικά σπάνιο και μόνο λίγες περιπτώσεις έχουν αναφερθεί στη διεθνή βιβλιογραφία, ενώ το μεταστατικό μελάνωμα είναι συχνότερο, καθώς το νεόπλασμα αυτό επιδεικνύει μια ασυνήθιστη τάση να μεθίσταται στο γαστρεντερικό σύστημα.</w:t>
      </w:r>
      <w:r w:rsidR="00F55C38" w:rsidRPr="00F55C38">
        <w:rPr>
          <w:rFonts w:ascii="Arial" w:hAnsi="Arial" w:cs="Arial"/>
          <w:sz w:val="24"/>
          <w:szCs w:val="24"/>
          <w:vertAlign w:val="superscript"/>
        </w:rPr>
        <w:t>57</w:t>
      </w:r>
      <w:r w:rsidR="00F55C38" w:rsidRPr="00F55C38">
        <w:rPr>
          <w:rFonts w:ascii="Arial" w:hAnsi="Arial" w:cs="Arial"/>
          <w:sz w:val="24"/>
          <w:szCs w:val="24"/>
        </w:rPr>
        <w:t xml:space="preserve"> Μ</w:t>
      </w:r>
      <w:r w:rsidR="00F55C38">
        <w:rPr>
          <w:rFonts w:ascii="Arial" w:hAnsi="Arial" w:cs="Arial"/>
          <w:sz w:val="24"/>
          <w:szCs w:val="24"/>
        </w:rPr>
        <w:t>όνο στο 1-4% των ασθενών με κακόηθες μελάνωμα, η μετάσταση στο γαστρεντερικό σωλήνα ανιχνεύεται ακτινολογικά ή ενδοσκοπικά</w:t>
      </w:r>
      <w:r w:rsidR="001743C2" w:rsidRPr="001743C2">
        <w:rPr>
          <w:rFonts w:ascii="Arial" w:hAnsi="Arial" w:cs="Arial"/>
          <w:sz w:val="24"/>
          <w:szCs w:val="24"/>
        </w:rPr>
        <w:t>,</w:t>
      </w:r>
      <w:r w:rsidR="00F55C38">
        <w:rPr>
          <w:rFonts w:ascii="Arial" w:hAnsi="Arial" w:cs="Arial"/>
          <w:sz w:val="24"/>
          <w:szCs w:val="24"/>
          <w:vertAlign w:val="superscript"/>
        </w:rPr>
        <w:t>58</w:t>
      </w:r>
      <w:r w:rsidR="001743C2" w:rsidRPr="001743C2">
        <w:rPr>
          <w:rFonts w:ascii="Arial" w:hAnsi="Arial" w:cs="Arial"/>
          <w:sz w:val="24"/>
          <w:szCs w:val="24"/>
        </w:rPr>
        <w:t xml:space="preserve"> εν</w:t>
      </w:r>
      <w:r w:rsidR="001743C2">
        <w:rPr>
          <w:rFonts w:ascii="Arial" w:hAnsi="Arial" w:cs="Arial"/>
          <w:sz w:val="24"/>
          <w:szCs w:val="24"/>
        </w:rPr>
        <w:t>ώ στο 60% οι μεταστάσεις διαπιστώνονται στη νεκροτομή.</w:t>
      </w:r>
      <w:r w:rsidR="001743C2">
        <w:rPr>
          <w:rFonts w:ascii="Arial" w:hAnsi="Arial" w:cs="Arial"/>
          <w:sz w:val="24"/>
          <w:szCs w:val="24"/>
          <w:vertAlign w:val="superscript"/>
        </w:rPr>
        <w:t>59,60</w:t>
      </w:r>
      <w:r w:rsidR="00400D9A">
        <w:rPr>
          <w:rFonts w:ascii="Arial" w:hAnsi="Arial" w:cs="Arial"/>
          <w:sz w:val="24"/>
          <w:szCs w:val="24"/>
        </w:rPr>
        <w:t xml:space="preserve"> </w:t>
      </w:r>
      <w:r w:rsidR="004A0E0F" w:rsidRPr="004A0E0F">
        <w:rPr>
          <w:rFonts w:ascii="Arial" w:hAnsi="Arial" w:cs="Arial"/>
          <w:sz w:val="24"/>
          <w:szCs w:val="24"/>
        </w:rPr>
        <w:t>Μεταξ</w:t>
      </w:r>
      <w:r w:rsidR="004A0E0F">
        <w:rPr>
          <w:rFonts w:ascii="Arial" w:hAnsi="Arial" w:cs="Arial"/>
          <w:sz w:val="24"/>
          <w:szCs w:val="24"/>
        </w:rPr>
        <w:t>ύ των κακοήθων νεοπλασμάτων, τα οποία μεθίστανται στο λεπτό έντερο, το κακόηθες μελάνωμα ευθύνεται για το 50-70% των περιπτώσεων.</w:t>
      </w:r>
      <w:r w:rsidR="004A0E0F">
        <w:rPr>
          <w:rFonts w:ascii="Arial" w:hAnsi="Arial" w:cs="Arial"/>
          <w:sz w:val="24"/>
          <w:szCs w:val="24"/>
          <w:vertAlign w:val="superscript"/>
        </w:rPr>
        <w:t>61</w:t>
      </w:r>
      <w:r w:rsidR="00984D17" w:rsidRPr="00984D17">
        <w:rPr>
          <w:rFonts w:ascii="Arial" w:hAnsi="Arial" w:cs="Arial"/>
          <w:sz w:val="24"/>
          <w:szCs w:val="24"/>
        </w:rPr>
        <w:t xml:space="preserve"> Υπ</w:t>
      </w:r>
      <w:r w:rsidR="00984D17">
        <w:rPr>
          <w:rFonts w:ascii="Arial" w:hAnsi="Arial" w:cs="Arial"/>
          <w:sz w:val="24"/>
          <w:szCs w:val="24"/>
        </w:rPr>
        <w:t>ό το πρίσμα αυτών των δεδομένων, μερικοί ερευνητές θεωρούν ότι τα κακοήθη μελανώματα του λεπτού εντέρου είναι, γενικά, μεταστατικά.</w:t>
      </w:r>
      <w:r w:rsidR="00984D17">
        <w:rPr>
          <w:rFonts w:ascii="Arial" w:hAnsi="Arial" w:cs="Arial"/>
          <w:sz w:val="24"/>
          <w:szCs w:val="24"/>
          <w:vertAlign w:val="superscript"/>
        </w:rPr>
        <w:t>62,63</w:t>
      </w:r>
      <w:r w:rsidR="00532D20" w:rsidRPr="00532D20">
        <w:rPr>
          <w:rFonts w:ascii="Arial" w:hAnsi="Arial" w:cs="Arial"/>
          <w:sz w:val="24"/>
          <w:szCs w:val="24"/>
        </w:rPr>
        <w:t xml:space="preserve"> Παρ</w:t>
      </w:r>
      <w:r w:rsidR="00532D20">
        <w:rPr>
          <w:rFonts w:ascii="Arial" w:hAnsi="Arial" w:cs="Arial"/>
          <w:sz w:val="24"/>
          <w:szCs w:val="24"/>
        </w:rPr>
        <w:t>όλα αυτά, 17 περιπτώσεις πρωτοπαθούς μελανώματος του λεπτού εντέρου έχουν αναφερθεί στη βιβλιογραφία τα τελευταία 25 χρόνια.</w:t>
      </w:r>
    </w:p>
    <w:p w:rsidR="00B27521" w:rsidRPr="00470EF6" w:rsidRDefault="00B27521" w:rsidP="00AE406B">
      <w:pPr>
        <w:spacing w:line="240" w:lineRule="auto"/>
        <w:jc w:val="both"/>
        <w:rPr>
          <w:rFonts w:ascii="Arial" w:hAnsi="Arial" w:cs="Arial"/>
          <w:sz w:val="24"/>
          <w:szCs w:val="24"/>
        </w:rPr>
      </w:pPr>
      <w:r>
        <w:rPr>
          <w:rFonts w:ascii="Arial" w:hAnsi="Arial" w:cs="Arial"/>
          <w:sz w:val="24"/>
          <w:szCs w:val="24"/>
        </w:rPr>
        <w:tab/>
        <w:t xml:space="preserve">Προκειμένου να θεωρηθεί ένας όγκος του λεπτού εντέρου ως πρωτοπαθές μελάνωμα, πρέπει να αποκλεισθεί η ύπαρξη άλλων πρωτοπαθών μελανωμάτων, τα οποία, κυρίως, εμφανίζονται στο δέρμα, </w:t>
      </w:r>
      <w:r w:rsidR="001C181B">
        <w:rPr>
          <w:rFonts w:ascii="Arial" w:hAnsi="Arial" w:cs="Arial"/>
          <w:sz w:val="24"/>
          <w:szCs w:val="24"/>
        </w:rPr>
        <w:t>σ</w:t>
      </w:r>
      <w:r>
        <w:rPr>
          <w:rFonts w:ascii="Arial" w:hAnsi="Arial" w:cs="Arial"/>
          <w:sz w:val="24"/>
          <w:szCs w:val="24"/>
        </w:rPr>
        <w:t>τον αμφιβληστροειδή, στον πρωκτό και, σπανιότερα,</w:t>
      </w:r>
      <w:r w:rsidR="001C181B">
        <w:rPr>
          <w:rFonts w:ascii="Arial" w:hAnsi="Arial" w:cs="Arial"/>
          <w:sz w:val="24"/>
          <w:szCs w:val="24"/>
        </w:rPr>
        <w:t xml:space="preserve"> στον οισοφάγο, στο πέος και στον κόλπο. Επιπλέον, δεν πρέπει να υπάρχει ιστορικό προηγηθείσας εκτομής άτυπου μελανοκυτταρικού δερματικού όγκου και να απουσιάζει μεταστατική επέκταση σε άλλα όργανα</w:t>
      </w:r>
      <w:r w:rsidR="00E21FB2">
        <w:rPr>
          <w:rFonts w:ascii="Arial" w:hAnsi="Arial" w:cs="Arial"/>
          <w:sz w:val="24"/>
          <w:szCs w:val="24"/>
        </w:rPr>
        <w:t>.</w:t>
      </w:r>
      <w:r w:rsidR="00396F3F">
        <w:rPr>
          <w:rFonts w:ascii="Arial" w:hAnsi="Arial" w:cs="Arial"/>
          <w:sz w:val="24"/>
          <w:szCs w:val="24"/>
          <w:vertAlign w:val="superscript"/>
        </w:rPr>
        <w:t>64</w:t>
      </w:r>
      <w:r>
        <w:rPr>
          <w:rFonts w:ascii="Arial" w:hAnsi="Arial" w:cs="Arial"/>
          <w:sz w:val="24"/>
          <w:szCs w:val="24"/>
        </w:rPr>
        <w:t xml:space="preserve"> </w:t>
      </w:r>
    </w:p>
    <w:p w:rsidR="0098101A" w:rsidRDefault="00A55FF7" w:rsidP="00AE406B">
      <w:pPr>
        <w:spacing w:line="240" w:lineRule="auto"/>
        <w:jc w:val="both"/>
        <w:rPr>
          <w:rFonts w:ascii="Arial" w:hAnsi="Arial" w:cs="Arial"/>
          <w:sz w:val="24"/>
          <w:szCs w:val="24"/>
        </w:rPr>
      </w:pPr>
      <w:r w:rsidRPr="00470EF6">
        <w:rPr>
          <w:rFonts w:ascii="Arial" w:hAnsi="Arial" w:cs="Arial"/>
          <w:sz w:val="24"/>
          <w:szCs w:val="24"/>
        </w:rPr>
        <w:tab/>
      </w:r>
      <w:r>
        <w:rPr>
          <w:rFonts w:ascii="Arial" w:hAnsi="Arial" w:cs="Arial"/>
          <w:sz w:val="24"/>
          <w:szCs w:val="24"/>
        </w:rPr>
        <w:t>Διάφορες θεωρίες έχουν αναπτυχθεί σχετικά με τ</w:t>
      </w:r>
      <w:r w:rsidR="0085156E">
        <w:rPr>
          <w:rFonts w:ascii="Arial" w:hAnsi="Arial" w:cs="Arial"/>
          <w:sz w:val="24"/>
          <w:szCs w:val="24"/>
        </w:rPr>
        <w:t>η</w:t>
      </w:r>
      <w:r>
        <w:rPr>
          <w:rFonts w:ascii="Arial" w:hAnsi="Arial" w:cs="Arial"/>
          <w:sz w:val="24"/>
          <w:szCs w:val="24"/>
        </w:rPr>
        <w:t xml:space="preserve">ν προέλευση των κακοήθων μελανωμάτων του λεπτού εντέρου. </w:t>
      </w:r>
      <w:r w:rsidR="0066040A">
        <w:rPr>
          <w:rFonts w:ascii="Arial" w:hAnsi="Arial" w:cs="Arial"/>
          <w:sz w:val="24"/>
          <w:szCs w:val="24"/>
        </w:rPr>
        <w:t>Αν και το λεπτό και παχύ έντερο δεν έχουν, φυσιολογικά, μελανοκύτταρα, αυτά μπορεί να ανευρεθούν, ευκαιριακά, στον πεπτικό σωλήνα, στις αναπνευστικές οδούς και, τέλος, στους λεμφαδένες.</w:t>
      </w:r>
      <w:r w:rsidR="0066040A">
        <w:rPr>
          <w:rFonts w:ascii="Arial" w:hAnsi="Arial" w:cs="Arial"/>
          <w:sz w:val="24"/>
          <w:szCs w:val="24"/>
          <w:vertAlign w:val="superscript"/>
        </w:rPr>
        <w:t>65,66</w:t>
      </w:r>
      <w:r w:rsidR="009E3CE5">
        <w:rPr>
          <w:rFonts w:ascii="Arial" w:hAnsi="Arial" w:cs="Arial"/>
          <w:sz w:val="24"/>
          <w:szCs w:val="24"/>
        </w:rPr>
        <w:t xml:space="preserve"> </w:t>
      </w:r>
      <w:r w:rsidR="0085156E">
        <w:rPr>
          <w:rFonts w:ascii="Arial" w:hAnsi="Arial" w:cs="Arial"/>
          <w:sz w:val="24"/>
          <w:szCs w:val="24"/>
        </w:rPr>
        <w:t xml:space="preserve">Το γεγονός αυτό ενισχύει τη θεωρία της ανάπτυξης πρωτοπαθών μελανωμάτων στις θέσεις αυτές. </w:t>
      </w:r>
      <w:r w:rsidR="00FE4BB2">
        <w:rPr>
          <w:rFonts w:ascii="Arial" w:hAnsi="Arial" w:cs="Arial"/>
          <w:sz w:val="24"/>
          <w:szCs w:val="24"/>
        </w:rPr>
        <w:t>Μια δεύτερη θεωρία υποστηρίζει ότι κακοήθη μελανώματα μπορεί να προέρχονται από τα κύτταρα του ραχιαίου τμήματος του μυελικού (νευρικού) σωλήνα του εμβρύου.</w:t>
      </w:r>
      <w:r w:rsidR="00FE4BB2">
        <w:rPr>
          <w:rFonts w:ascii="Arial" w:hAnsi="Arial" w:cs="Arial"/>
          <w:sz w:val="24"/>
          <w:szCs w:val="24"/>
          <w:vertAlign w:val="superscript"/>
        </w:rPr>
        <w:t>67,68</w:t>
      </w:r>
      <w:r w:rsidR="00FE4BB2">
        <w:rPr>
          <w:rFonts w:ascii="Arial" w:hAnsi="Arial" w:cs="Arial"/>
          <w:sz w:val="24"/>
          <w:szCs w:val="24"/>
        </w:rPr>
        <w:t xml:space="preserve"> </w:t>
      </w:r>
      <w:r w:rsidR="00710767">
        <w:rPr>
          <w:rFonts w:ascii="Arial" w:hAnsi="Arial" w:cs="Arial"/>
          <w:sz w:val="24"/>
          <w:szCs w:val="24"/>
        </w:rPr>
        <w:t>Τα πολυδύναμα αυτά κύτταρα μεταναστεύουν στο σώμα</w:t>
      </w:r>
      <w:r w:rsidR="008506F5" w:rsidRPr="008506F5">
        <w:rPr>
          <w:rFonts w:ascii="Arial" w:hAnsi="Arial" w:cs="Arial"/>
          <w:sz w:val="24"/>
          <w:szCs w:val="24"/>
        </w:rPr>
        <w:t xml:space="preserve">, </w:t>
      </w:r>
      <w:r w:rsidR="008506F5">
        <w:rPr>
          <w:rFonts w:ascii="Arial" w:hAnsi="Arial" w:cs="Arial"/>
          <w:sz w:val="24"/>
          <w:szCs w:val="24"/>
        </w:rPr>
        <w:t>όπου διαφοροποιούνται σε εξειδικευμένα κύτταρα. Σ</w:t>
      </w:r>
      <w:r w:rsidR="00710767">
        <w:rPr>
          <w:rFonts w:ascii="Arial" w:hAnsi="Arial" w:cs="Arial"/>
          <w:sz w:val="24"/>
          <w:szCs w:val="24"/>
        </w:rPr>
        <w:t>το έντερο</w:t>
      </w:r>
      <w:r w:rsidR="008506F5">
        <w:rPr>
          <w:rFonts w:ascii="Arial" w:hAnsi="Arial" w:cs="Arial"/>
          <w:sz w:val="24"/>
          <w:szCs w:val="24"/>
        </w:rPr>
        <w:t xml:space="preserve"> φθάνουν</w:t>
      </w:r>
      <w:r w:rsidR="00710767">
        <w:rPr>
          <w:rFonts w:ascii="Arial" w:hAnsi="Arial" w:cs="Arial"/>
          <w:sz w:val="24"/>
          <w:szCs w:val="24"/>
        </w:rPr>
        <w:t xml:space="preserve"> μέσω του ομφαλο-μεσεντερικού σωλήνα, όπου διαφοροποιούνται σε κύτταρα πρόσληψης και αποκαρβοξυλίωσης πρόδρομων αμινών (κύτταρα APUD).</w:t>
      </w:r>
      <w:r w:rsidR="00C70CCF">
        <w:rPr>
          <w:rFonts w:ascii="Arial" w:hAnsi="Arial" w:cs="Arial"/>
          <w:sz w:val="24"/>
          <w:szCs w:val="24"/>
        </w:rPr>
        <w:t xml:space="preserve"> Τα τελευταία αυτά κύτταρα είναι δυνατό να υποστούν νεοπλασματικό μετασχηματισμό και να δώσουν γέννεση σε όγκους, όπως τα καρκινοειδή και τα γαστρινώματα.</w:t>
      </w:r>
      <w:r w:rsidR="002433A7">
        <w:rPr>
          <w:rFonts w:ascii="Arial" w:hAnsi="Arial" w:cs="Arial"/>
          <w:sz w:val="24"/>
          <w:szCs w:val="24"/>
        </w:rPr>
        <w:t xml:space="preserve"> Τα μελανώματα είναι πιθανό να εξορμώνται από τα κύτταρα APUD, αν και, αντίθετα με τα συνηθισμένα «APUDώματα», δεν παράγουν ορμόνες. Σύμφωνα με τη θεωρία της προέλευσης των μελανωμάτων του </w:t>
      </w:r>
      <w:r w:rsidR="002433A7">
        <w:rPr>
          <w:rFonts w:ascii="Arial" w:hAnsi="Arial" w:cs="Arial"/>
          <w:sz w:val="24"/>
          <w:szCs w:val="24"/>
        </w:rPr>
        <w:lastRenderedPageBreak/>
        <w:t>λεπτού εντέρου από τα εν λόγω κύτταρα, ο ειλεός, ο οποίος αποτελεί το απώτερο άκρο του ομφαλο-μεσεντε</w:t>
      </w:r>
      <w:r w:rsidR="00E5159D">
        <w:rPr>
          <w:rFonts w:ascii="Arial" w:hAnsi="Arial" w:cs="Arial"/>
          <w:sz w:val="24"/>
          <w:szCs w:val="24"/>
        </w:rPr>
        <w:t>ρικού σωλήνα, πρέπει να είναι</w:t>
      </w:r>
      <w:r w:rsidR="002433A7">
        <w:rPr>
          <w:rFonts w:ascii="Arial" w:hAnsi="Arial" w:cs="Arial"/>
          <w:sz w:val="24"/>
          <w:szCs w:val="24"/>
        </w:rPr>
        <w:t xml:space="preserve"> το τμήμα του λεπτού εντέρου με τη συχνότερη</w:t>
      </w:r>
      <w:r w:rsidR="00E5159D">
        <w:rPr>
          <w:rFonts w:ascii="Arial" w:hAnsi="Arial" w:cs="Arial"/>
          <w:sz w:val="24"/>
          <w:szCs w:val="24"/>
        </w:rPr>
        <w:t xml:space="preserve"> εντόπιση των κακοήθων μελανωμάτων.</w:t>
      </w:r>
      <w:r w:rsidR="00E5159D">
        <w:rPr>
          <w:rFonts w:ascii="Arial" w:hAnsi="Arial" w:cs="Arial"/>
          <w:sz w:val="24"/>
          <w:szCs w:val="24"/>
          <w:vertAlign w:val="superscript"/>
        </w:rPr>
        <w:t>69</w:t>
      </w:r>
      <w:r w:rsidR="00E5159D">
        <w:rPr>
          <w:rFonts w:ascii="Arial" w:hAnsi="Arial" w:cs="Arial"/>
          <w:sz w:val="24"/>
          <w:szCs w:val="24"/>
        </w:rPr>
        <w:t xml:space="preserve"> </w:t>
      </w:r>
      <w:r w:rsidR="00E80B24">
        <w:rPr>
          <w:rFonts w:ascii="Arial" w:hAnsi="Arial" w:cs="Arial"/>
          <w:sz w:val="24"/>
          <w:szCs w:val="24"/>
        </w:rPr>
        <w:t xml:space="preserve">Πράγματι, από τη μελέτη όλων των αναφερθέντων περιστατικών πρωτοπαθούς μελανώματος του λεπτού εντέρου, το 83% </w:t>
      </w:r>
      <w:r w:rsidR="0098101A">
        <w:rPr>
          <w:rFonts w:ascii="Arial" w:hAnsi="Arial" w:cs="Arial"/>
          <w:sz w:val="24"/>
          <w:szCs w:val="24"/>
        </w:rPr>
        <w:t>αναπτύχθηκαν στον ειλεό.</w:t>
      </w:r>
    </w:p>
    <w:p w:rsidR="005B29C9" w:rsidRDefault="0098101A" w:rsidP="00AE406B">
      <w:pPr>
        <w:spacing w:line="240" w:lineRule="auto"/>
        <w:jc w:val="both"/>
        <w:rPr>
          <w:rFonts w:ascii="Arial" w:hAnsi="Arial" w:cs="Arial"/>
          <w:sz w:val="24"/>
          <w:szCs w:val="24"/>
        </w:rPr>
      </w:pPr>
      <w:r>
        <w:rPr>
          <w:rFonts w:ascii="Arial" w:hAnsi="Arial" w:cs="Arial"/>
          <w:sz w:val="24"/>
          <w:szCs w:val="24"/>
        </w:rPr>
        <w:tab/>
        <w:t>Κλινικά, τα μελανώματα του λεπτού εντέρου εμφανίζονται με μη ειδικά συμπτώματα, όπως: κοιλιακό άλγος, ναυτία, εμέτους, απώλεια βάρους, αιμορραγία από το πεπτικό και αναιμία. Προσβάλ</w:t>
      </w:r>
      <w:r w:rsidR="005B29C9">
        <w:rPr>
          <w:rFonts w:ascii="Arial" w:hAnsi="Arial" w:cs="Arial"/>
          <w:sz w:val="24"/>
          <w:szCs w:val="24"/>
        </w:rPr>
        <w:t>λ</w:t>
      </w:r>
      <w:r>
        <w:rPr>
          <w:rFonts w:ascii="Arial" w:hAnsi="Arial" w:cs="Arial"/>
          <w:sz w:val="24"/>
          <w:szCs w:val="24"/>
        </w:rPr>
        <w:t>ουν ενήλικες οποιασδήποτε ηλικίας, από 26-81 χρόνων, με μέση ηλικία</w:t>
      </w:r>
      <w:r w:rsidR="005B29C9">
        <w:rPr>
          <w:rFonts w:ascii="Arial" w:hAnsi="Arial" w:cs="Arial"/>
          <w:sz w:val="24"/>
          <w:szCs w:val="24"/>
        </w:rPr>
        <w:t xml:space="preserve"> τα</w:t>
      </w:r>
      <w:r>
        <w:rPr>
          <w:rFonts w:ascii="Arial" w:hAnsi="Arial" w:cs="Arial"/>
          <w:sz w:val="24"/>
          <w:szCs w:val="24"/>
        </w:rPr>
        <w:t xml:space="preserve"> </w:t>
      </w:r>
      <w:r w:rsidR="005B29C9">
        <w:rPr>
          <w:rFonts w:ascii="Arial" w:hAnsi="Arial" w:cs="Arial"/>
          <w:sz w:val="24"/>
          <w:szCs w:val="24"/>
        </w:rPr>
        <w:t>54 χρόνια και η σχέση ανδρών/γυναικών είναι 1,4:1.</w:t>
      </w:r>
    </w:p>
    <w:p w:rsidR="00470EF6" w:rsidRDefault="005B29C9" w:rsidP="00AE406B">
      <w:pPr>
        <w:spacing w:line="240" w:lineRule="auto"/>
        <w:jc w:val="both"/>
        <w:rPr>
          <w:rFonts w:ascii="Arial" w:hAnsi="Arial" w:cs="Arial"/>
          <w:sz w:val="24"/>
          <w:szCs w:val="24"/>
        </w:rPr>
      </w:pPr>
      <w:r>
        <w:rPr>
          <w:rFonts w:ascii="Arial" w:hAnsi="Arial" w:cs="Arial"/>
          <w:sz w:val="24"/>
          <w:szCs w:val="24"/>
        </w:rPr>
        <w:tab/>
        <w:t>Η χειρουργική</w:t>
      </w:r>
      <w:r w:rsidR="00470EF6" w:rsidRPr="00470EF6">
        <w:rPr>
          <w:rFonts w:ascii="Arial" w:hAnsi="Arial" w:cs="Arial"/>
          <w:sz w:val="24"/>
          <w:szCs w:val="24"/>
        </w:rPr>
        <w:t xml:space="preserve"> </w:t>
      </w:r>
      <w:r w:rsidR="00470EF6">
        <w:rPr>
          <w:rFonts w:ascii="Arial" w:hAnsi="Arial" w:cs="Arial"/>
          <w:sz w:val="24"/>
          <w:szCs w:val="24"/>
        </w:rPr>
        <w:t>αποτελεί την ενδεικνυόμενη θεραπεία και το γεγονός ότι το 75% των ασθενών παρουσιάζουν λεμφαδενικές μεταστάσεις, τη στιγμή της διάγνωσης, υπογραμμίζει την αναγκαιότητα του επιχώριου λεμφαδενικού καθαρισμού.</w:t>
      </w:r>
    </w:p>
    <w:p w:rsidR="00A55FF7" w:rsidRPr="002433A7" w:rsidRDefault="00470EF6" w:rsidP="00AE406B">
      <w:pPr>
        <w:spacing w:line="240" w:lineRule="auto"/>
        <w:jc w:val="both"/>
        <w:rPr>
          <w:rFonts w:ascii="Arial" w:hAnsi="Arial" w:cs="Arial"/>
          <w:sz w:val="24"/>
          <w:szCs w:val="24"/>
        </w:rPr>
      </w:pPr>
      <w:r>
        <w:rPr>
          <w:rFonts w:ascii="Arial" w:hAnsi="Arial" w:cs="Arial"/>
          <w:sz w:val="24"/>
          <w:szCs w:val="24"/>
        </w:rPr>
        <w:tab/>
        <w:t>Οι κυριότεροι προγνωστικοί παράγοντες είναι ο χρόνος της διάγνωσης και η παρουσία μεταστάσεων.</w:t>
      </w:r>
      <w:r w:rsidR="00054FE9" w:rsidRPr="00054FE9">
        <w:rPr>
          <w:rFonts w:ascii="Arial" w:hAnsi="Arial" w:cs="Arial"/>
          <w:sz w:val="24"/>
          <w:szCs w:val="24"/>
          <w:vertAlign w:val="superscript"/>
        </w:rPr>
        <w:t>64</w:t>
      </w:r>
      <w:r>
        <w:rPr>
          <w:rFonts w:ascii="Arial" w:hAnsi="Arial" w:cs="Arial"/>
          <w:sz w:val="24"/>
          <w:szCs w:val="24"/>
        </w:rPr>
        <w:t xml:space="preserve"> Χρόνος επιβίωσης μεγαλύτερος των 3 χρόνων αναφέρθηκε, μόνο, σε 4 ασθενείς</w:t>
      </w:r>
      <w:r w:rsidR="00A32570">
        <w:rPr>
          <w:rFonts w:ascii="Arial" w:hAnsi="Arial" w:cs="Arial"/>
          <w:sz w:val="24"/>
          <w:szCs w:val="24"/>
        </w:rPr>
        <w:t xml:space="preserve"> και το 50% των ασθενών, με γνωστό follow-up, πέθαναν από τη νόσο. Το γεγονός αυτό προσδιορίζει την κακή πρόγνωση των ασθενών με πρωτοπαθή μελανώματα του λεπτού εντέρου, των οποίων η κλινική πορεία είναι παρόμοια με αυτή των μελανωμάτων άλλων, συνηθέστερων, εντοπίσεων. </w:t>
      </w:r>
      <w:r w:rsidR="005B29C9">
        <w:rPr>
          <w:rFonts w:ascii="Arial" w:hAnsi="Arial" w:cs="Arial"/>
          <w:sz w:val="24"/>
          <w:szCs w:val="24"/>
        </w:rPr>
        <w:t xml:space="preserve"> </w:t>
      </w:r>
      <w:r w:rsidR="002433A7">
        <w:rPr>
          <w:rFonts w:ascii="Arial" w:hAnsi="Arial" w:cs="Arial"/>
          <w:sz w:val="24"/>
          <w:szCs w:val="24"/>
        </w:rPr>
        <w:t xml:space="preserve"> </w:t>
      </w:r>
    </w:p>
    <w:p w:rsidR="006A5387" w:rsidRPr="00532D20" w:rsidRDefault="006A5387" w:rsidP="00AE406B">
      <w:pPr>
        <w:spacing w:line="240" w:lineRule="auto"/>
        <w:jc w:val="both"/>
        <w:rPr>
          <w:rFonts w:ascii="Arial" w:hAnsi="Arial" w:cs="Arial"/>
          <w:sz w:val="24"/>
          <w:szCs w:val="24"/>
        </w:rPr>
      </w:pPr>
      <w:r>
        <w:rPr>
          <w:rFonts w:ascii="Arial" w:hAnsi="Arial" w:cs="Arial"/>
          <w:sz w:val="24"/>
          <w:szCs w:val="24"/>
        </w:rPr>
        <w:tab/>
      </w:r>
    </w:p>
    <w:p w:rsidR="00CD1E40" w:rsidRPr="00170E26" w:rsidRDefault="00CD1E40" w:rsidP="00CD1E40">
      <w:pPr>
        <w:spacing w:line="240" w:lineRule="auto"/>
        <w:jc w:val="both"/>
        <w:rPr>
          <w:rFonts w:ascii="Arial" w:hAnsi="Arial" w:cs="Arial"/>
          <w:sz w:val="24"/>
          <w:szCs w:val="24"/>
        </w:rPr>
      </w:pPr>
    </w:p>
    <w:p w:rsidR="00203837" w:rsidRPr="001076FE" w:rsidRDefault="00203837" w:rsidP="00881086">
      <w:pPr>
        <w:spacing w:line="240" w:lineRule="auto"/>
        <w:ind w:firstLine="720"/>
        <w:jc w:val="both"/>
        <w:rPr>
          <w:rFonts w:ascii="Arial" w:hAnsi="Arial" w:cs="Arial"/>
          <w:sz w:val="24"/>
          <w:szCs w:val="24"/>
        </w:rPr>
      </w:pPr>
    </w:p>
    <w:p w:rsidR="004F40FA" w:rsidRPr="001076FE" w:rsidRDefault="004F40FA" w:rsidP="00881086">
      <w:pPr>
        <w:spacing w:line="240" w:lineRule="auto"/>
        <w:ind w:firstLine="720"/>
        <w:jc w:val="both"/>
        <w:rPr>
          <w:rFonts w:ascii="Arial" w:hAnsi="Arial" w:cs="Arial"/>
          <w:sz w:val="24"/>
          <w:szCs w:val="24"/>
        </w:rPr>
      </w:pPr>
      <w:r w:rsidRPr="001076FE">
        <w:rPr>
          <w:rFonts w:ascii="Arial" w:hAnsi="Arial" w:cs="Arial"/>
          <w:sz w:val="24"/>
          <w:szCs w:val="24"/>
        </w:rPr>
        <w:t xml:space="preserve"> </w:t>
      </w:r>
    </w:p>
    <w:p w:rsidR="004F40FA" w:rsidRPr="001076FE" w:rsidRDefault="004F40FA" w:rsidP="00881086">
      <w:pPr>
        <w:spacing w:line="240" w:lineRule="auto"/>
        <w:ind w:firstLine="720"/>
        <w:jc w:val="both"/>
        <w:rPr>
          <w:rFonts w:ascii="Arial" w:hAnsi="Arial" w:cs="Arial"/>
          <w:sz w:val="24"/>
          <w:szCs w:val="24"/>
        </w:rPr>
      </w:pPr>
    </w:p>
    <w:p w:rsidR="006C28C1" w:rsidRPr="001076FE" w:rsidRDefault="006C28C1" w:rsidP="00881086">
      <w:pPr>
        <w:spacing w:line="240" w:lineRule="auto"/>
        <w:ind w:firstLine="720"/>
        <w:jc w:val="both"/>
        <w:rPr>
          <w:rFonts w:ascii="Arial" w:hAnsi="Arial" w:cs="Arial"/>
          <w:sz w:val="24"/>
          <w:szCs w:val="24"/>
          <w:u w:val="single"/>
        </w:rPr>
      </w:pPr>
    </w:p>
    <w:p w:rsidR="003C79EB" w:rsidRPr="001076FE" w:rsidRDefault="003C79EB" w:rsidP="00881086">
      <w:pPr>
        <w:spacing w:line="240" w:lineRule="auto"/>
        <w:ind w:firstLine="720"/>
        <w:jc w:val="both"/>
        <w:rPr>
          <w:rFonts w:ascii="Arial" w:hAnsi="Arial" w:cs="Arial"/>
          <w:sz w:val="24"/>
          <w:szCs w:val="24"/>
        </w:rPr>
      </w:pPr>
    </w:p>
    <w:p w:rsidR="006F5AC5" w:rsidRPr="001076FE" w:rsidRDefault="006F5AC5" w:rsidP="00881086">
      <w:pPr>
        <w:spacing w:line="240" w:lineRule="auto"/>
        <w:ind w:firstLine="720"/>
        <w:jc w:val="both"/>
        <w:rPr>
          <w:rFonts w:ascii="Arial" w:hAnsi="Arial" w:cs="Arial"/>
          <w:b/>
          <w:sz w:val="24"/>
          <w:szCs w:val="24"/>
        </w:rPr>
      </w:pPr>
    </w:p>
    <w:p w:rsidR="006F5AC5" w:rsidRPr="001076FE" w:rsidRDefault="006F5AC5" w:rsidP="00881086">
      <w:pPr>
        <w:spacing w:line="240" w:lineRule="auto"/>
        <w:ind w:firstLine="720"/>
        <w:jc w:val="both"/>
        <w:rPr>
          <w:rFonts w:ascii="Arial" w:hAnsi="Arial" w:cs="Arial"/>
          <w:b/>
          <w:sz w:val="24"/>
          <w:szCs w:val="24"/>
        </w:rPr>
      </w:pPr>
    </w:p>
    <w:p w:rsidR="00173006" w:rsidRDefault="00173006" w:rsidP="00F35AEC">
      <w:pPr>
        <w:spacing w:line="240" w:lineRule="auto"/>
        <w:jc w:val="both"/>
        <w:rPr>
          <w:rFonts w:ascii="Arial" w:hAnsi="Arial" w:cs="Arial"/>
          <w:sz w:val="28"/>
          <w:szCs w:val="28"/>
        </w:rPr>
      </w:pPr>
    </w:p>
    <w:p w:rsidR="00F35AEC" w:rsidRPr="001076FE" w:rsidRDefault="00F35AEC" w:rsidP="00F35AEC">
      <w:pPr>
        <w:spacing w:line="240" w:lineRule="auto"/>
        <w:jc w:val="both"/>
        <w:rPr>
          <w:rFonts w:ascii="Arial" w:hAnsi="Arial" w:cs="Arial"/>
          <w:sz w:val="28"/>
          <w:szCs w:val="28"/>
        </w:rPr>
      </w:pPr>
    </w:p>
    <w:p w:rsidR="00212BBA" w:rsidRDefault="00212BBA" w:rsidP="00D470E3">
      <w:pPr>
        <w:spacing w:line="240" w:lineRule="auto"/>
        <w:jc w:val="center"/>
        <w:rPr>
          <w:rFonts w:ascii="Arial" w:hAnsi="Arial" w:cs="Arial"/>
          <w:b/>
          <w:i/>
          <w:sz w:val="24"/>
          <w:szCs w:val="24"/>
        </w:rPr>
      </w:pPr>
    </w:p>
    <w:p w:rsidR="00212BBA" w:rsidRDefault="00212BBA" w:rsidP="00D470E3">
      <w:pPr>
        <w:spacing w:line="240" w:lineRule="auto"/>
        <w:jc w:val="center"/>
        <w:rPr>
          <w:rFonts w:ascii="Arial" w:hAnsi="Arial" w:cs="Arial"/>
          <w:b/>
          <w:i/>
          <w:sz w:val="24"/>
          <w:szCs w:val="24"/>
        </w:rPr>
      </w:pPr>
    </w:p>
    <w:p w:rsidR="00212BBA" w:rsidRDefault="00212BBA" w:rsidP="00D470E3">
      <w:pPr>
        <w:spacing w:line="240" w:lineRule="auto"/>
        <w:jc w:val="center"/>
        <w:rPr>
          <w:rFonts w:ascii="Arial" w:hAnsi="Arial" w:cs="Arial"/>
          <w:b/>
          <w:i/>
          <w:sz w:val="24"/>
          <w:szCs w:val="24"/>
        </w:rPr>
      </w:pPr>
    </w:p>
    <w:p w:rsidR="00212BBA" w:rsidRDefault="00212BBA" w:rsidP="00D470E3">
      <w:pPr>
        <w:spacing w:line="240" w:lineRule="auto"/>
        <w:jc w:val="center"/>
        <w:rPr>
          <w:rFonts w:ascii="Arial" w:hAnsi="Arial" w:cs="Arial"/>
          <w:b/>
          <w:i/>
          <w:sz w:val="24"/>
          <w:szCs w:val="24"/>
        </w:rPr>
      </w:pPr>
    </w:p>
    <w:p w:rsidR="00D470E3" w:rsidRPr="00897F14" w:rsidRDefault="00173006" w:rsidP="00D470E3">
      <w:pPr>
        <w:spacing w:line="240" w:lineRule="auto"/>
        <w:jc w:val="center"/>
        <w:rPr>
          <w:rFonts w:ascii="Arial" w:hAnsi="Arial" w:cs="Arial"/>
          <w:b/>
          <w:i/>
          <w:sz w:val="24"/>
          <w:szCs w:val="24"/>
        </w:rPr>
      </w:pPr>
      <w:r>
        <w:rPr>
          <w:rFonts w:ascii="Arial" w:hAnsi="Arial" w:cs="Arial"/>
          <w:b/>
          <w:i/>
          <w:sz w:val="24"/>
          <w:szCs w:val="24"/>
        </w:rPr>
        <w:lastRenderedPageBreak/>
        <w:t>Βιβλιογραφία</w:t>
      </w:r>
    </w:p>
    <w:p w:rsidR="00173006" w:rsidRPr="00422FDE" w:rsidRDefault="00173006" w:rsidP="00422FDE">
      <w:pPr>
        <w:pStyle w:val="ListParagraph"/>
        <w:numPr>
          <w:ilvl w:val="0"/>
          <w:numId w:val="1"/>
        </w:numPr>
        <w:spacing w:line="240" w:lineRule="auto"/>
        <w:jc w:val="both"/>
        <w:rPr>
          <w:rFonts w:ascii="Arial" w:hAnsi="Arial" w:cs="Arial"/>
          <w:sz w:val="20"/>
          <w:szCs w:val="20"/>
          <w:lang w:val="en-US"/>
        </w:rPr>
      </w:pPr>
      <w:r w:rsidRPr="00422FDE">
        <w:rPr>
          <w:rFonts w:ascii="Arial" w:hAnsi="Arial" w:cs="Arial"/>
          <w:sz w:val="20"/>
          <w:szCs w:val="20"/>
          <w:lang w:val="en-US"/>
        </w:rPr>
        <w:t>Neugut</w:t>
      </w:r>
      <w:r w:rsidRPr="00AE406B">
        <w:rPr>
          <w:rFonts w:ascii="Arial" w:hAnsi="Arial" w:cs="Arial"/>
          <w:sz w:val="20"/>
          <w:szCs w:val="20"/>
          <w:lang w:val="en-US"/>
        </w:rPr>
        <w:t xml:space="preserve"> </w:t>
      </w:r>
      <w:r w:rsidRPr="00422FDE">
        <w:rPr>
          <w:rFonts w:ascii="Arial" w:hAnsi="Arial" w:cs="Arial"/>
          <w:sz w:val="20"/>
          <w:szCs w:val="20"/>
          <w:lang w:val="en-US"/>
        </w:rPr>
        <w:t>AI</w:t>
      </w:r>
      <w:r w:rsidRPr="00AE406B">
        <w:rPr>
          <w:rFonts w:ascii="Arial" w:hAnsi="Arial" w:cs="Arial"/>
          <w:sz w:val="20"/>
          <w:szCs w:val="20"/>
          <w:lang w:val="en-US"/>
        </w:rPr>
        <w:t xml:space="preserve">, </w:t>
      </w:r>
      <w:r w:rsidRPr="00422FDE">
        <w:rPr>
          <w:rFonts w:ascii="Arial" w:hAnsi="Arial" w:cs="Arial"/>
          <w:sz w:val="20"/>
          <w:szCs w:val="20"/>
          <w:lang w:val="en-US"/>
        </w:rPr>
        <w:t>Jacobson</w:t>
      </w:r>
      <w:r w:rsidRPr="00AE406B">
        <w:rPr>
          <w:rFonts w:ascii="Arial" w:hAnsi="Arial" w:cs="Arial"/>
          <w:sz w:val="20"/>
          <w:szCs w:val="20"/>
          <w:lang w:val="en-US"/>
        </w:rPr>
        <w:t xml:space="preserve"> </w:t>
      </w:r>
      <w:r w:rsidRPr="00422FDE">
        <w:rPr>
          <w:rFonts w:ascii="Arial" w:hAnsi="Arial" w:cs="Arial"/>
          <w:sz w:val="20"/>
          <w:szCs w:val="20"/>
          <w:lang w:val="en-US"/>
        </w:rPr>
        <w:t>JS</w:t>
      </w:r>
      <w:r w:rsidRPr="00AE406B">
        <w:rPr>
          <w:rFonts w:ascii="Arial" w:hAnsi="Arial" w:cs="Arial"/>
          <w:sz w:val="20"/>
          <w:szCs w:val="20"/>
          <w:lang w:val="en-US"/>
        </w:rPr>
        <w:t xml:space="preserve">, </w:t>
      </w:r>
      <w:r w:rsidRPr="00422FDE">
        <w:rPr>
          <w:rFonts w:ascii="Arial" w:hAnsi="Arial" w:cs="Arial"/>
          <w:sz w:val="20"/>
          <w:szCs w:val="20"/>
          <w:lang w:val="en-US"/>
        </w:rPr>
        <w:t>Suh</w:t>
      </w:r>
      <w:r w:rsidRPr="00AE406B">
        <w:rPr>
          <w:rFonts w:ascii="Arial" w:hAnsi="Arial" w:cs="Arial"/>
          <w:sz w:val="20"/>
          <w:szCs w:val="20"/>
          <w:lang w:val="en-US"/>
        </w:rPr>
        <w:t xml:space="preserve"> </w:t>
      </w:r>
      <w:r w:rsidRPr="00422FDE">
        <w:rPr>
          <w:rFonts w:ascii="Arial" w:hAnsi="Arial" w:cs="Arial"/>
          <w:sz w:val="20"/>
          <w:szCs w:val="20"/>
          <w:lang w:val="en-US"/>
        </w:rPr>
        <w:t>S</w:t>
      </w:r>
      <w:r w:rsidRPr="00AE406B">
        <w:rPr>
          <w:rFonts w:ascii="Arial" w:hAnsi="Arial" w:cs="Arial"/>
          <w:sz w:val="20"/>
          <w:szCs w:val="20"/>
          <w:lang w:val="en-US"/>
        </w:rPr>
        <w:t xml:space="preserve">, </w:t>
      </w:r>
      <w:r w:rsidRPr="00422FDE">
        <w:rPr>
          <w:rFonts w:ascii="Arial" w:hAnsi="Arial" w:cs="Arial"/>
          <w:sz w:val="20"/>
          <w:szCs w:val="20"/>
          <w:lang w:val="en-US"/>
        </w:rPr>
        <w:t>et</w:t>
      </w:r>
      <w:r w:rsidRPr="00AE406B">
        <w:rPr>
          <w:rFonts w:ascii="Arial" w:hAnsi="Arial" w:cs="Arial"/>
          <w:sz w:val="20"/>
          <w:szCs w:val="20"/>
          <w:lang w:val="en-US"/>
        </w:rPr>
        <w:t xml:space="preserve"> </w:t>
      </w:r>
      <w:r w:rsidRPr="00422FDE">
        <w:rPr>
          <w:rFonts w:ascii="Arial" w:hAnsi="Arial" w:cs="Arial"/>
          <w:sz w:val="20"/>
          <w:szCs w:val="20"/>
          <w:lang w:val="en-US"/>
        </w:rPr>
        <w:t>al</w:t>
      </w:r>
      <w:r w:rsidRPr="00AE406B">
        <w:rPr>
          <w:rFonts w:ascii="Arial" w:hAnsi="Arial" w:cs="Arial"/>
          <w:sz w:val="20"/>
          <w:szCs w:val="20"/>
          <w:lang w:val="en-US"/>
        </w:rPr>
        <w:t xml:space="preserve">. </w:t>
      </w:r>
      <w:r w:rsidRPr="00422FDE">
        <w:rPr>
          <w:rFonts w:ascii="Arial" w:hAnsi="Arial" w:cs="Arial"/>
          <w:sz w:val="20"/>
          <w:szCs w:val="20"/>
          <w:lang w:val="en-US"/>
        </w:rPr>
        <w:t>The</w:t>
      </w:r>
      <w:r w:rsidRPr="00AE406B">
        <w:rPr>
          <w:rFonts w:ascii="Arial" w:hAnsi="Arial" w:cs="Arial"/>
          <w:sz w:val="20"/>
          <w:szCs w:val="20"/>
          <w:lang w:val="en-US"/>
        </w:rPr>
        <w:t xml:space="preserve"> </w:t>
      </w:r>
      <w:r w:rsidRPr="00422FDE">
        <w:rPr>
          <w:rFonts w:ascii="Arial" w:hAnsi="Arial" w:cs="Arial"/>
          <w:sz w:val="20"/>
          <w:szCs w:val="20"/>
          <w:lang w:val="en-US"/>
        </w:rPr>
        <w:t>epidemiology</w:t>
      </w:r>
      <w:r w:rsidRPr="00AE406B">
        <w:rPr>
          <w:rFonts w:ascii="Arial" w:hAnsi="Arial" w:cs="Arial"/>
          <w:sz w:val="20"/>
          <w:szCs w:val="20"/>
          <w:lang w:val="en-US"/>
        </w:rPr>
        <w:t xml:space="preserve"> </w:t>
      </w:r>
      <w:r w:rsidR="00422FDE">
        <w:rPr>
          <w:rFonts w:ascii="Arial" w:hAnsi="Arial" w:cs="Arial"/>
          <w:sz w:val="20"/>
          <w:szCs w:val="20"/>
          <w:lang w:val="en-US"/>
        </w:rPr>
        <w:t>of</w:t>
      </w:r>
      <w:r w:rsidR="00422FDE" w:rsidRPr="00AE406B">
        <w:rPr>
          <w:rFonts w:ascii="Arial" w:hAnsi="Arial" w:cs="Arial"/>
          <w:sz w:val="20"/>
          <w:szCs w:val="20"/>
          <w:lang w:val="en-US"/>
        </w:rPr>
        <w:t xml:space="preserve"> </w:t>
      </w:r>
      <w:r w:rsidR="00422FDE">
        <w:rPr>
          <w:rFonts w:ascii="Arial" w:hAnsi="Arial" w:cs="Arial"/>
          <w:sz w:val="20"/>
          <w:szCs w:val="20"/>
          <w:lang w:val="en-US"/>
        </w:rPr>
        <w:t>cancer</w:t>
      </w:r>
      <w:r w:rsidR="00422FDE" w:rsidRPr="00AE406B">
        <w:rPr>
          <w:rFonts w:ascii="Arial" w:hAnsi="Arial" w:cs="Arial"/>
          <w:sz w:val="20"/>
          <w:szCs w:val="20"/>
          <w:lang w:val="en-US"/>
        </w:rPr>
        <w:t xml:space="preserve"> </w:t>
      </w:r>
      <w:r w:rsidR="00422FDE">
        <w:rPr>
          <w:rFonts w:ascii="Arial" w:hAnsi="Arial" w:cs="Arial"/>
          <w:sz w:val="20"/>
          <w:szCs w:val="20"/>
          <w:lang w:val="en-US"/>
        </w:rPr>
        <w:t>of</w:t>
      </w:r>
      <w:r w:rsidR="00422FDE" w:rsidRPr="00AE406B">
        <w:rPr>
          <w:rFonts w:ascii="Arial" w:hAnsi="Arial" w:cs="Arial"/>
          <w:sz w:val="20"/>
          <w:szCs w:val="20"/>
          <w:lang w:val="en-US"/>
        </w:rPr>
        <w:t xml:space="preserve"> </w:t>
      </w:r>
      <w:r w:rsidR="00422FDE">
        <w:rPr>
          <w:rFonts w:ascii="Arial" w:hAnsi="Arial" w:cs="Arial"/>
          <w:sz w:val="20"/>
          <w:szCs w:val="20"/>
          <w:lang w:val="en-US"/>
        </w:rPr>
        <w:t>the</w:t>
      </w:r>
      <w:r w:rsidR="00422FDE" w:rsidRPr="00AE406B">
        <w:rPr>
          <w:rFonts w:ascii="Arial" w:hAnsi="Arial" w:cs="Arial"/>
          <w:sz w:val="20"/>
          <w:szCs w:val="20"/>
          <w:lang w:val="en-US"/>
        </w:rPr>
        <w:t xml:space="preserve"> </w:t>
      </w:r>
      <w:r w:rsidR="00422FDE">
        <w:rPr>
          <w:rFonts w:ascii="Arial" w:hAnsi="Arial" w:cs="Arial"/>
          <w:sz w:val="20"/>
          <w:szCs w:val="20"/>
          <w:lang w:val="en-US"/>
        </w:rPr>
        <w:t>small</w:t>
      </w:r>
      <w:r w:rsidR="00422FDE" w:rsidRPr="00AE406B">
        <w:rPr>
          <w:rFonts w:ascii="Arial" w:hAnsi="Arial" w:cs="Arial"/>
          <w:sz w:val="20"/>
          <w:szCs w:val="20"/>
          <w:lang w:val="en-US"/>
        </w:rPr>
        <w:t xml:space="preserve"> </w:t>
      </w:r>
      <w:r w:rsidR="00422FDE">
        <w:rPr>
          <w:rFonts w:ascii="Arial" w:hAnsi="Arial" w:cs="Arial"/>
          <w:sz w:val="20"/>
          <w:szCs w:val="20"/>
          <w:lang w:val="en-US"/>
        </w:rPr>
        <w:t>bowel</w:t>
      </w:r>
      <w:r w:rsidRPr="00D308A8">
        <w:rPr>
          <w:rFonts w:ascii="Arial" w:hAnsi="Arial" w:cs="Arial"/>
          <w:sz w:val="20"/>
          <w:szCs w:val="20"/>
          <w:lang w:val="en-US"/>
        </w:rPr>
        <w:t xml:space="preserve">. </w:t>
      </w:r>
      <w:r w:rsidRPr="00422FDE">
        <w:rPr>
          <w:rFonts w:ascii="Arial" w:hAnsi="Arial" w:cs="Arial"/>
          <w:i/>
          <w:sz w:val="20"/>
          <w:szCs w:val="20"/>
          <w:lang w:val="en-US"/>
        </w:rPr>
        <w:t>Cancer</w:t>
      </w:r>
      <w:r w:rsidRPr="00F43754">
        <w:rPr>
          <w:rFonts w:ascii="Arial" w:hAnsi="Arial" w:cs="Arial"/>
          <w:i/>
          <w:sz w:val="20"/>
          <w:szCs w:val="20"/>
        </w:rPr>
        <w:t xml:space="preserve"> </w:t>
      </w:r>
      <w:r w:rsidRPr="00422FDE">
        <w:rPr>
          <w:rFonts w:ascii="Arial" w:hAnsi="Arial" w:cs="Arial"/>
          <w:i/>
          <w:sz w:val="20"/>
          <w:szCs w:val="20"/>
          <w:lang w:val="en-US"/>
        </w:rPr>
        <w:t>E</w:t>
      </w:r>
      <w:r w:rsidR="00422FDE" w:rsidRPr="00422FDE">
        <w:rPr>
          <w:rFonts w:ascii="Arial" w:hAnsi="Arial" w:cs="Arial"/>
          <w:i/>
          <w:sz w:val="20"/>
          <w:szCs w:val="20"/>
          <w:lang w:val="en-US"/>
        </w:rPr>
        <w:t>pidemiol. Biomarkers Prev 1998; 7: 243-51.</w:t>
      </w:r>
    </w:p>
    <w:p w:rsidR="00422FDE" w:rsidRPr="00126E9A" w:rsidRDefault="00011E65" w:rsidP="00422FDE">
      <w:pPr>
        <w:pStyle w:val="ListParagraph"/>
        <w:numPr>
          <w:ilvl w:val="0"/>
          <w:numId w:val="1"/>
        </w:numPr>
        <w:spacing w:line="240" w:lineRule="auto"/>
        <w:jc w:val="both"/>
        <w:rPr>
          <w:rFonts w:ascii="Arial" w:hAnsi="Arial" w:cs="Arial"/>
          <w:sz w:val="20"/>
          <w:szCs w:val="20"/>
          <w:lang w:val="en-US"/>
        </w:rPr>
      </w:pPr>
      <w:r>
        <w:rPr>
          <w:rFonts w:ascii="Arial" w:hAnsi="Arial" w:cs="Arial"/>
          <w:sz w:val="20"/>
          <w:szCs w:val="20"/>
          <w:lang w:val="en-US"/>
        </w:rPr>
        <w:t xml:space="preserve">Potten CS. Clonogenic, stem and carcinogen-target cells </w:t>
      </w:r>
      <w:r w:rsidR="00243AEC">
        <w:rPr>
          <w:rFonts w:ascii="Arial" w:hAnsi="Arial" w:cs="Arial"/>
          <w:sz w:val="20"/>
          <w:szCs w:val="20"/>
          <w:lang w:val="en-US"/>
        </w:rPr>
        <w:t xml:space="preserve">in small intestine. </w:t>
      </w:r>
      <w:r w:rsidR="00243AEC">
        <w:rPr>
          <w:rFonts w:ascii="Arial" w:hAnsi="Arial" w:cs="Arial"/>
          <w:i/>
          <w:sz w:val="20"/>
          <w:szCs w:val="20"/>
          <w:lang w:val="en-US"/>
        </w:rPr>
        <w:t>Scand J</w:t>
      </w:r>
      <w:r w:rsidR="00243AEC">
        <w:rPr>
          <w:rFonts w:ascii="Arial" w:hAnsi="Arial" w:cs="Arial"/>
          <w:sz w:val="20"/>
          <w:szCs w:val="20"/>
          <w:lang w:val="en-US"/>
        </w:rPr>
        <w:t xml:space="preserve"> </w:t>
      </w:r>
      <w:r w:rsidR="00243AEC" w:rsidRPr="00243AEC">
        <w:rPr>
          <w:rFonts w:ascii="Arial" w:hAnsi="Arial" w:cs="Arial"/>
          <w:i/>
          <w:sz w:val="20"/>
          <w:szCs w:val="20"/>
          <w:lang w:val="en-US"/>
        </w:rPr>
        <w:t>Gastroenterol</w:t>
      </w:r>
      <w:r w:rsidR="00243AEC">
        <w:rPr>
          <w:rFonts w:ascii="Arial" w:hAnsi="Arial" w:cs="Arial"/>
          <w:i/>
          <w:sz w:val="20"/>
          <w:szCs w:val="20"/>
          <w:lang w:val="en-US"/>
        </w:rPr>
        <w:t xml:space="preserve"> 1984; (Suppl)104: 3-14.</w:t>
      </w:r>
    </w:p>
    <w:p w:rsidR="00126E9A" w:rsidRPr="009B3403" w:rsidRDefault="00126E9A" w:rsidP="00422FDE">
      <w:pPr>
        <w:pStyle w:val="ListParagraph"/>
        <w:numPr>
          <w:ilvl w:val="0"/>
          <w:numId w:val="1"/>
        </w:numPr>
        <w:spacing w:line="240" w:lineRule="auto"/>
        <w:jc w:val="both"/>
        <w:rPr>
          <w:rFonts w:ascii="Arial" w:hAnsi="Arial" w:cs="Arial"/>
          <w:sz w:val="20"/>
          <w:szCs w:val="20"/>
          <w:lang w:val="en-US"/>
        </w:rPr>
      </w:pPr>
      <w:r>
        <w:rPr>
          <w:rFonts w:ascii="Arial" w:hAnsi="Arial" w:cs="Arial"/>
          <w:sz w:val="20"/>
          <w:szCs w:val="20"/>
          <w:lang w:val="en-US"/>
        </w:rPr>
        <w:t xml:space="preserve">Filipovich AH, Mathur A, Kamat D, et al. Lymphoproliferative disorders and other </w:t>
      </w:r>
      <w:r w:rsidR="00905FD0" w:rsidRPr="00905FD0">
        <w:rPr>
          <w:rFonts w:ascii="Arial" w:hAnsi="Arial" w:cs="Arial"/>
          <w:sz w:val="20"/>
          <w:szCs w:val="20"/>
          <w:lang w:val="en-US"/>
        </w:rPr>
        <w:t xml:space="preserve"> </w:t>
      </w:r>
      <w:r>
        <w:rPr>
          <w:rFonts w:ascii="Arial" w:hAnsi="Arial" w:cs="Arial"/>
          <w:sz w:val="20"/>
          <w:szCs w:val="20"/>
          <w:lang w:val="en-US"/>
        </w:rPr>
        <w:t xml:space="preserve">tumors complicating immunodeficiencies. </w:t>
      </w:r>
      <w:r>
        <w:rPr>
          <w:rFonts w:ascii="Arial" w:hAnsi="Arial" w:cs="Arial"/>
          <w:i/>
          <w:sz w:val="20"/>
          <w:szCs w:val="20"/>
          <w:lang w:val="en-US"/>
        </w:rPr>
        <w:t>Immunodeficiency 1994; 5: 91-112.</w:t>
      </w:r>
    </w:p>
    <w:p w:rsidR="009B3403" w:rsidRPr="00DD12A1" w:rsidRDefault="009B3403" w:rsidP="00422FDE">
      <w:pPr>
        <w:pStyle w:val="ListParagraph"/>
        <w:numPr>
          <w:ilvl w:val="0"/>
          <w:numId w:val="1"/>
        </w:numPr>
        <w:spacing w:line="240" w:lineRule="auto"/>
        <w:jc w:val="both"/>
        <w:rPr>
          <w:rFonts w:ascii="Arial" w:hAnsi="Arial" w:cs="Arial"/>
          <w:sz w:val="20"/>
          <w:szCs w:val="20"/>
          <w:lang w:val="en-US"/>
        </w:rPr>
      </w:pPr>
      <w:r>
        <w:rPr>
          <w:rFonts w:ascii="Arial" w:hAnsi="Arial" w:cs="Arial"/>
          <w:sz w:val="20"/>
          <w:szCs w:val="20"/>
          <w:lang w:val="en-US"/>
        </w:rPr>
        <w:t xml:space="preserve">Abruma J, Cruicchi ET. A factor responsible for resistance to cancer. </w:t>
      </w:r>
      <w:r>
        <w:rPr>
          <w:rFonts w:ascii="Arial" w:hAnsi="Arial" w:cs="Arial"/>
          <w:i/>
          <w:sz w:val="20"/>
          <w:szCs w:val="20"/>
          <w:lang w:val="en-US"/>
        </w:rPr>
        <w:t>Curr Ther Res 1996; 40: 745-9.</w:t>
      </w:r>
    </w:p>
    <w:p w:rsidR="00DD12A1" w:rsidRPr="00DD12A1" w:rsidRDefault="00DD12A1" w:rsidP="00422FDE">
      <w:pPr>
        <w:pStyle w:val="ListParagraph"/>
        <w:numPr>
          <w:ilvl w:val="0"/>
          <w:numId w:val="1"/>
        </w:numPr>
        <w:spacing w:line="240" w:lineRule="auto"/>
        <w:jc w:val="both"/>
        <w:rPr>
          <w:rFonts w:ascii="Arial" w:hAnsi="Arial" w:cs="Arial"/>
          <w:sz w:val="20"/>
          <w:szCs w:val="20"/>
          <w:lang w:val="en-US"/>
        </w:rPr>
      </w:pPr>
      <w:r>
        <w:rPr>
          <w:rFonts w:ascii="Arial" w:hAnsi="Arial" w:cs="Arial"/>
          <w:sz w:val="20"/>
          <w:szCs w:val="20"/>
          <w:lang w:val="en-US"/>
        </w:rPr>
        <w:t xml:space="preserve">Goel IP, Didolkar MC, Elias EG. Primary malignant tumors of the small intestine. </w:t>
      </w:r>
      <w:r>
        <w:rPr>
          <w:rFonts w:ascii="Arial" w:hAnsi="Arial" w:cs="Arial"/>
          <w:i/>
          <w:sz w:val="20"/>
          <w:szCs w:val="20"/>
          <w:lang w:val="en-US"/>
        </w:rPr>
        <w:t>Surg Gynecol Obstet 1976; 143: 717-719.</w:t>
      </w:r>
    </w:p>
    <w:p w:rsidR="00DD12A1" w:rsidRPr="00914E74" w:rsidRDefault="00DD12A1" w:rsidP="00422FDE">
      <w:pPr>
        <w:pStyle w:val="ListParagraph"/>
        <w:numPr>
          <w:ilvl w:val="0"/>
          <w:numId w:val="1"/>
        </w:numPr>
        <w:spacing w:line="240" w:lineRule="auto"/>
        <w:jc w:val="both"/>
        <w:rPr>
          <w:rFonts w:ascii="Arial" w:hAnsi="Arial" w:cs="Arial"/>
          <w:sz w:val="20"/>
          <w:szCs w:val="20"/>
          <w:lang w:val="en-US"/>
        </w:rPr>
      </w:pPr>
      <w:r>
        <w:rPr>
          <w:rFonts w:ascii="Arial" w:hAnsi="Arial" w:cs="Arial"/>
          <w:sz w:val="20"/>
          <w:szCs w:val="20"/>
          <w:lang w:val="en-US"/>
        </w:rPr>
        <w:t xml:space="preserve">Darling RC, Welch CE. Tumors of the small intestine. </w:t>
      </w:r>
      <w:r>
        <w:rPr>
          <w:rFonts w:ascii="Arial" w:hAnsi="Arial" w:cs="Arial"/>
          <w:i/>
          <w:sz w:val="20"/>
          <w:szCs w:val="20"/>
          <w:lang w:val="en-US"/>
        </w:rPr>
        <w:t>N Engl J Med 1959</w:t>
      </w:r>
      <w:r w:rsidR="00000CF4">
        <w:rPr>
          <w:rFonts w:ascii="Arial" w:hAnsi="Arial" w:cs="Arial"/>
          <w:i/>
          <w:sz w:val="20"/>
          <w:szCs w:val="20"/>
          <w:lang w:val="en-US"/>
        </w:rPr>
        <w:t>: 260: 397-408.</w:t>
      </w:r>
    </w:p>
    <w:p w:rsidR="00F33589" w:rsidRPr="00F33589" w:rsidRDefault="00914E74" w:rsidP="00F33589">
      <w:pPr>
        <w:pStyle w:val="ListParagraph"/>
        <w:numPr>
          <w:ilvl w:val="0"/>
          <w:numId w:val="1"/>
        </w:numPr>
        <w:spacing w:line="240" w:lineRule="auto"/>
        <w:jc w:val="both"/>
        <w:rPr>
          <w:rFonts w:ascii="Arial" w:hAnsi="Arial" w:cs="Arial"/>
          <w:sz w:val="20"/>
          <w:szCs w:val="20"/>
          <w:lang w:val="en-US"/>
        </w:rPr>
      </w:pPr>
      <w:r>
        <w:rPr>
          <w:rFonts w:ascii="Arial" w:hAnsi="Arial" w:cs="Arial"/>
          <w:sz w:val="20"/>
          <w:szCs w:val="20"/>
          <w:lang w:val="en-US"/>
        </w:rPr>
        <w:t xml:space="preserve">Barclay THC, Schapira DV. Malignant Tumors of the Small Intestine. </w:t>
      </w:r>
      <w:r>
        <w:rPr>
          <w:rFonts w:ascii="Arial" w:hAnsi="Arial" w:cs="Arial"/>
          <w:i/>
          <w:sz w:val="20"/>
          <w:szCs w:val="20"/>
          <w:lang w:val="en-US"/>
        </w:rPr>
        <w:t>Cancer 1983; 51: 878-881.</w:t>
      </w:r>
    </w:p>
    <w:p w:rsidR="00F33589" w:rsidRPr="00F33589" w:rsidRDefault="00F33589" w:rsidP="00F33589">
      <w:pPr>
        <w:pStyle w:val="ListParagraph"/>
        <w:numPr>
          <w:ilvl w:val="0"/>
          <w:numId w:val="1"/>
        </w:numPr>
        <w:spacing w:line="240" w:lineRule="auto"/>
        <w:jc w:val="both"/>
        <w:rPr>
          <w:rFonts w:ascii="Arial" w:hAnsi="Arial" w:cs="Arial"/>
          <w:sz w:val="20"/>
          <w:szCs w:val="20"/>
          <w:lang w:val="en-US"/>
        </w:rPr>
      </w:pPr>
      <w:r w:rsidRPr="00F33589">
        <w:rPr>
          <w:rFonts w:ascii="Arial" w:hAnsi="Arial" w:cs="Arial"/>
          <w:sz w:val="20"/>
          <w:szCs w:val="20"/>
          <w:lang w:val="en-US"/>
        </w:rPr>
        <w:t>Arai M, Shimizu S, Imai Y, et al. Mutations of the Ki-ras, p53 and APC genes in adenocarcinomas of the human small intestine. </w:t>
      </w:r>
      <w:r w:rsidRPr="002B44FC">
        <w:rPr>
          <w:rFonts w:ascii="Arial" w:hAnsi="Arial" w:cs="Arial"/>
          <w:i/>
          <w:iCs/>
          <w:sz w:val="20"/>
          <w:szCs w:val="20"/>
          <w:lang w:val="en-US"/>
        </w:rPr>
        <w:t>Int J Cancer</w:t>
      </w:r>
      <w:r w:rsidRPr="002B44FC">
        <w:rPr>
          <w:rFonts w:ascii="Arial" w:hAnsi="Arial" w:cs="Arial"/>
          <w:sz w:val="20"/>
          <w:szCs w:val="20"/>
          <w:lang w:val="en-US"/>
        </w:rPr>
        <w:t>. Feb 7 1997;70(4):390-5. </w:t>
      </w:r>
      <w:r w:rsidRPr="00F33589">
        <w:rPr>
          <w:rFonts w:ascii="Arial" w:hAnsi="Arial" w:cs="Arial"/>
          <w:sz w:val="20"/>
          <w:szCs w:val="20"/>
          <w:lang w:val="en-US"/>
        </w:rPr>
        <w:t xml:space="preserve"> </w:t>
      </w:r>
    </w:p>
    <w:p w:rsidR="009B0AAD" w:rsidRPr="009B0AAD" w:rsidRDefault="00F33589" w:rsidP="00F33589">
      <w:pPr>
        <w:pStyle w:val="ListParagraph"/>
        <w:numPr>
          <w:ilvl w:val="0"/>
          <w:numId w:val="1"/>
        </w:numPr>
        <w:spacing w:line="240" w:lineRule="auto"/>
        <w:jc w:val="both"/>
        <w:rPr>
          <w:rFonts w:ascii="Arial" w:hAnsi="Arial" w:cs="Arial"/>
          <w:sz w:val="20"/>
          <w:szCs w:val="20"/>
          <w:lang w:val="en-US"/>
        </w:rPr>
      </w:pPr>
      <w:r w:rsidRPr="00F33589">
        <w:rPr>
          <w:rFonts w:ascii="Arial" w:hAnsi="Arial" w:cs="Arial"/>
          <w:sz w:val="20"/>
          <w:szCs w:val="20"/>
          <w:lang w:val="en-US"/>
        </w:rPr>
        <w:t>Wheeler JM, Warren BF, Mortensen NJ, et al. An insight into the genetic pathway of adenocarcinoma of the small intestine. </w:t>
      </w:r>
      <w:r w:rsidRPr="00F33589">
        <w:rPr>
          <w:rFonts w:ascii="Arial" w:hAnsi="Arial" w:cs="Arial"/>
          <w:i/>
          <w:iCs/>
          <w:sz w:val="20"/>
          <w:szCs w:val="20"/>
        </w:rPr>
        <w:t>Gut</w:t>
      </w:r>
      <w:r w:rsidRPr="00F33589">
        <w:rPr>
          <w:rFonts w:ascii="Arial" w:hAnsi="Arial" w:cs="Arial"/>
          <w:sz w:val="20"/>
          <w:szCs w:val="20"/>
        </w:rPr>
        <w:t>. Feb 2002;50(2):218-23.</w:t>
      </w:r>
    </w:p>
    <w:p w:rsidR="00F33589" w:rsidRPr="00560A5D" w:rsidRDefault="009B0AAD" w:rsidP="00F33589">
      <w:pPr>
        <w:pStyle w:val="ListParagraph"/>
        <w:numPr>
          <w:ilvl w:val="0"/>
          <w:numId w:val="1"/>
        </w:numPr>
        <w:spacing w:line="240" w:lineRule="auto"/>
        <w:jc w:val="both"/>
        <w:rPr>
          <w:rFonts w:ascii="Arial" w:hAnsi="Arial" w:cs="Arial"/>
          <w:sz w:val="20"/>
          <w:szCs w:val="20"/>
          <w:lang w:val="en-US"/>
        </w:rPr>
      </w:pPr>
      <w:r w:rsidRPr="009B0AAD">
        <w:rPr>
          <w:rFonts w:ascii="Arial" w:hAnsi="Arial" w:cs="Arial"/>
          <w:sz w:val="20"/>
          <w:szCs w:val="20"/>
          <w:lang w:val="en-US"/>
        </w:rPr>
        <w:t>Haselkorn T, Whittemore AS, Lilienfeld DE. Incidence of small bowel cancer in the United States and worldwide: geographic, temporal, and racial differences. </w:t>
      </w:r>
      <w:r w:rsidRPr="009B0AAD">
        <w:rPr>
          <w:rFonts w:ascii="Arial" w:hAnsi="Arial" w:cs="Arial"/>
          <w:i/>
          <w:iCs/>
          <w:sz w:val="20"/>
          <w:szCs w:val="20"/>
        </w:rPr>
        <w:t>Cancer Causes Control</w:t>
      </w:r>
      <w:r w:rsidRPr="009B0AAD">
        <w:rPr>
          <w:rFonts w:ascii="Arial" w:hAnsi="Arial" w:cs="Arial"/>
          <w:sz w:val="20"/>
          <w:szCs w:val="20"/>
        </w:rPr>
        <w:t>. Sep 2005;16(7):781-7.</w:t>
      </w:r>
      <w:r w:rsidR="00F33589" w:rsidRPr="009B0AAD">
        <w:rPr>
          <w:rFonts w:ascii="Arial" w:hAnsi="Arial" w:cs="Arial"/>
          <w:sz w:val="20"/>
          <w:szCs w:val="20"/>
        </w:rPr>
        <w:t> </w:t>
      </w:r>
    </w:p>
    <w:p w:rsidR="00F70326" w:rsidRPr="00F70326" w:rsidRDefault="0067069C" w:rsidP="00F33589">
      <w:pPr>
        <w:pStyle w:val="ListParagraph"/>
        <w:numPr>
          <w:ilvl w:val="0"/>
          <w:numId w:val="1"/>
        </w:numPr>
        <w:spacing w:line="240" w:lineRule="auto"/>
        <w:jc w:val="both"/>
        <w:rPr>
          <w:rFonts w:ascii="Arial" w:hAnsi="Arial" w:cs="Arial"/>
          <w:sz w:val="20"/>
          <w:szCs w:val="20"/>
          <w:lang w:val="en-US"/>
        </w:rPr>
      </w:pPr>
      <w:r w:rsidRPr="0067069C">
        <w:rPr>
          <w:rFonts w:ascii="Arial" w:hAnsi="Arial" w:cs="Arial"/>
          <w:sz w:val="20"/>
          <w:szCs w:val="20"/>
          <w:lang w:val="en-US"/>
        </w:rPr>
        <w:t>Kashiwagi H, Spigelman AD, Talbot IC, et al. p53 and K-ras status in duodenal adenomas in familial adenomatous polyposis. </w:t>
      </w:r>
      <w:r w:rsidRPr="0067069C">
        <w:rPr>
          <w:rFonts w:ascii="Arial" w:hAnsi="Arial" w:cs="Arial"/>
          <w:i/>
          <w:iCs/>
          <w:sz w:val="20"/>
          <w:szCs w:val="20"/>
        </w:rPr>
        <w:t>Br J Surg</w:t>
      </w:r>
      <w:r w:rsidRPr="0067069C">
        <w:rPr>
          <w:rFonts w:ascii="Arial" w:hAnsi="Arial" w:cs="Arial"/>
          <w:sz w:val="20"/>
          <w:szCs w:val="20"/>
        </w:rPr>
        <w:t>. Jun 1997;84(6):826-9.</w:t>
      </w:r>
    </w:p>
    <w:p w:rsidR="00560A5D" w:rsidRPr="0095477F" w:rsidRDefault="00F70326" w:rsidP="00F33589">
      <w:pPr>
        <w:pStyle w:val="ListParagraph"/>
        <w:numPr>
          <w:ilvl w:val="0"/>
          <w:numId w:val="1"/>
        </w:numPr>
        <w:spacing w:line="240" w:lineRule="auto"/>
        <w:jc w:val="both"/>
        <w:rPr>
          <w:rFonts w:ascii="Arial" w:hAnsi="Arial" w:cs="Arial"/>
          <w:sz w:val="20"/>
          <w:szCs w:val="20"/>
          <w:lang w:val="en-US"/>
        </w:rPr>
      </w:pPr>
      <w:r w:rsidRPr="00F70326">
        <w:rPr>
          <w:rFonts w:ascii="Arial" w:hAnsi="Arial" w:cs="Arial"/>
          <w:sz w:val="20"/>
          <w:szCs w:val="20"/>
          <w:lang w:val="en-US"/>
        </w:rPr>
        <w:t>Chow WH, Linet MS, McLaughlin JK, et al. Risk factors for small intestine cancer. </w:t>
      </w:r>
      <w:r w:rsidRPr="002B44FC">
        <w:rPr>
          <w:rFonts w:ascii="Arial" w:hAnsi="Arial" w:cs="Arial"/>
          <w:i/>
          <w:iCs/>
          <w:sz w:val="20"/>
          <w:szCs w:val="20"/>
          <w:lang w:val="en-US"/>
        </w:rPr>
        <w:t>Cancer Causes Control</w:t>
      </w:r>
      <w:r w:rsidR="006014B5" w:rsidRPr="002B44FC">
        <w:rPr>
          <w:rFonts w:ascii="Arial" w:hAnsi="Arial" w:cs="Arial"/>
          <w:sz w:val="20"/>
          <w:szCs w:val="20"/>
          <w:lang w:val="en-US"/>
        </w:rPr>
        <w:t xml:space="preserve">. </w:t>
      </w:r>
      <w:r w:rsidRPr="002B44FC">
        <w:rPr>
          <w:rFonts w:ascii="Arial" w:hAnsi="Arial" w:cs="Arial"/>
          <w:sz w:val="20"/>
          <w:szCs w:val="20"/>
          <w:lang w:val="en-US"/>
        </w:rPr>
        <w:t>1993;4(2):163-9.</w:t>
      </w:r>
      <w:r w:rsidR="0067069C" w:rsidRPr="00F70326">
        <w:rPr>
          <w:rFonts w:ascii="Arial" w:hAnsi="Arial" w:cs="Arial"/>
          <w:sz w:val="20"/>
          <w:szCs w:val="20"/>
          <w:lang w:val="en-US"/>
        </w:rPr>
        <w:t xml:space="preserve"> </w:t>
      </w:r>
    </w:p>
    <w:p w:rsidR="0095477F" w:rsidRPr="00E56511" w:rsidRDefault="0095477F" w:rsidP="00F33589">
      <w:pPr>
        <w:pStyle w:val="ListParagraph"/>
        <w:numPr>
          <w:ilvl w:val="0"/>
          <w:numId w:val="1"/>
        </w:numPr>
        <w:spacing w:line="240" w:lineRule="auto"/>
        <w:jc w:val="both"/>
        <w:rPr>
          <w:rFonts w:ascii="Arial" w:hAnsi="Arial" w:cs="Arial"/>
          <w:sz w:val="20"/>
          <w:szCs w:val="20"/>
          <w:lang w:val="en-US"/>
        </w:rPr>
      </w:pPr>
      <w:r w:rsidRPr="0095477F">
        <w:rPr>
          <w:rFonts w:ascii="Arial" w:hAnsi="Arial" w:cs="Arial"/>
          <w:sz w:val="20"/>
          <w:szCs w:val="20"/>
          <w:lang w:val="en-US"/>
        </w:rPr>
        <w:t>Chen CC, Neugut AI, Rotterdam H. Risk factors for adenocarcinomas and malignant carcinoids of the small intestine: preliminary findings. </w:t>
      </w:r>
      <w:r w:rsidRPr="0095477F">
        <w:rPr>
          <w:rFonts w:ascii="Arial" w:hAnsi="Arial" w:cs="Arial"/>
          <w:i/>
          <w:iCs/>
          <w:sz w:val="20"/>
          <w:szCs w:val="20"/>
        </w:rPr>
        <w:t>Cancer Epidemiol Biomarkers Prev</w:t>
      </w:r>
      <w:r>
        <w:rPr>
          <w:rFonts w:ascii="Arial" w:hAnsi="Arial" w:cs="Arial"/>
          <w:sz w:val="20"/>
          <w:szCs w:val="20"/>
        </w:rPr>
        <w:t>. </w:t>
      </w:r>
      <w:r w:rsidRPr="0095477F">
        <w:rPr>
          <w:rFonts w:ascii="Arial" w:hAnsi="Arial" w:cs="Arial"/>
          <w:sz w:val="20"/>
          <w:szCs w:val="20"/>
        </w:rPr>
        <w:t>1994;3(3):205-7.</w:t>
      </w:r>
      <w:r w:rsidRPr="00F70326">
        <w:rPr>
          <w:rFonts w:ascii="Arial" w:hAnsi="Arial" w:cs="Arial"/>
          <w:sz w:val="20"/>
          <w:szCs w:val="20"/>
          <w:lang w:val="en-US"/>
        </w:rPr>
        <w:t xml:space="preserve"> </w:t>
      </w:r>
    </w:p>
    <w:p w:rsidR="00E56511" w:rsidRPr="008F341C" w:rsidRDefault="00E56511" w:rsidP="00F33589">
      <w:pPr>
        <w:pStyle w:val="ListParagraph"/>
        <w:numPr>
          <w:ilvl w:val="0"/>
          <w:numId w:val="1"/>
        </w:numPr>
        <w:spacing w:line="240" w:lineRule="auto"/>
        <w:jc w:val="both"/>
        <w:rPr>
          <w:rFonts w:ascii="Arial" w:hAnsi="Arial" w:cs="Arial"/>
          <w:sz w:val="20"/>
          <w:szCs w:val="20"/>
          <w:lang w:val="en-US"/>
        </w:rPr>
      </w:pPr>
      <w:r w:rsidRPr="00E56511">
        <w:rPr>
          <w:rFonts w:ascii="Arial" w:hAnsi="Arial" w:cs="Arial"/>
          <w:sz w:val="20"/>
          <w:szCs w:val="20"/>
          <w:lang w:val="en-US"/>
        </w:rPr>
        <w:t>Hemminki A. </w:t>
      </w:r>
      <w:r w:rsidRPr="00E56511">
        <w:rPr>
          <w:rFonts w:ascii="Arial" w:hAnsi="Arial" w:cs="Arial"/>
          <w:i/>
          <w:iCs/>
          <w:sz w:val="20"/>
          <w:szCs w:val="20"/>
          <w:lang w:val="en-US"/>
        </w:rPr>
        <w:t>Inherited predisposition to gastrointestinal cancer: The molecular backgrounds of Peutz-Jeghers syndrome and hereditary nonpolyposis colorectal cancer</w:t>
      </w:r>
      <w:r w:rsidRPr="00E56511">
        <w:rPr>
          <w:rFonts w:ascii="Arial" w:hAnsi="Arial" w:cs="Arial"/>
          <w:sz w:val="20"/>
          <w:szCs w:val="20"/>
          <w:lang w:val="en-US"/>
        </w:rPr>
        <w:t xml:space="preserve"> [dissertation/master's thesis]. </w:t>
      </w:r>
      <w:r w:rsidRPr="00E56511">
        <w:rPr>
          <w:rFonts w:ascii="Arial" w:hAnsi="Arial" w:cs="Arial"/>
          <w:sz w:val="20"/>
          <w:szCs w:val="20"/>
        </w:rPr>
        <w:t>University of Helsinki; 1998.</w:t>
      </w:r>
    </w:p>
    <w:p w:rsidR="008F341C" w:rsidRPr="00DC72B2" w:rsidRDefault="008F341C" w:rsidP="00F33589">
      <w:pPr>
        <w:pStyle w:val="ListParagraph"/>
        <w:numPr>
          <w:ilvl w:val="0"/>
          <w:numId w:val="1"/>
        </w:numPr>
        <w:spacing w:line="240" w:lineRule="auto"/>
        <w:jc w:val="both"/>
        <w:rPr>
          <w:rFonts w:ascii="Arial" w:hAnsi="Arial" w:cs="Arial"/>
          <w:sz w:val="20"/>
          <w:szCs w:val="20"/>
          <w:lang w:val="en-US"/>
        </w:rPr>
      </w:pPr>
      <w:r w:rsidRPr="008F341C">
        <w:rPr>
          <w:rFonts w:ascii="Arial" w:hAnsi="Arial" w:cs="Arial"/>
          <w:sz w:val="20"/>
          <w:szCs w:val="20"/>
          <w:lang w:val="en-US"/>
        </w:rPr>
        <w:t>Potter DD, Murray JA, Donohue JH, et al. The role of defective mismatch repair in small bowel adenocarcinoma in celiac disease. </w:t>
      </w:r>
      <w:r w:rsidRPr="008F341C">
        <w:rPr>
          <w:rFonts w:ascii="Arial" w:hAnsi="Arial" w:cs="Arial"/>
          <w:i/>
          <w:iCs/>
          <w:sz w:val="20"/>
          <w:szCs w:val="20"/>
        </w:rPr>
        <w:t>Cancer Res</w:t>
      </w:r>
      <w:r>
        <w:rPr>
          <w:rFonts w:ascii="Arial" w:hAnsi="Arial" w:cs="Arial"/>
          <w:sz w:val="20"/>
          <w:szCs w:val="20"/>
        </w:rPr>
        <w:t>. </w:t>
      </w:r>
      <w:r w:rsidRPr="008F341C">
        <w:rPr>
          <w:rFonts w:ascii="Arial" w:hAnsi="Arial" w:cs="Arial"/>
          <w:sz w:val="20"/>
          <w:szCs w:val="20"/>
        </w:rPr>
        <w:t>2004;64(19):7073-7.</w:t>
      </w:r>
      <w:r w:rsidRPr="008F341C">
        <w:rPr>
          <w:rFonts w:ascii="Arial" w:hAnsi="Arial" w:cs="Arial"/>
          <w:sz w:val="20"/>
          <w:szCs w:val="20"/>
          <w:lang w:val="en-US"/>
        </w:rPr>
        <w:t xml:space="preserve"> </w:t>
      </w:r>
    </w:p>
    <w:p w:rsidR="00710B24" w:rsidRPr="00710B24" w:rsidRDefault="00DC72B2" w:rsidP="00F33589">
      <w:pPr>
        <w:pStyle w:val="ListParagraph"/>
        <w:numPr>
          <w:ilvl w:val="0"/>
          <w:numId w:val="1"/>
        </w:numPr>
        <w:spacing w:line="240" w:lineRule="auto"/>
        <w:jc w:val="both"/>
        <w:rPr>
          <w:rFonts w:ascii="Arial" w:hAnsi="Arial" w:cs="Arial"/>
          <w:sz w:val="20"/>
          <w:szCs w:val="20"/>
          <w:lang w:val="en-US"/>
        </w:rPr>
      </w:pPr>
      <w:r w:rsidRPr="00DC72B2">
        <w:rPr>
          <w:rFonts w:ascii="Arial" w:hAnsi="Arial" w:cs="Arial"/>
          <w:sz w:val="20"/>
          <w:szCs w:val="20"/>
          <w:lang w:val="en-US"/>
        </w:rPr>
        <w:t>Cobrin GM, Pittman RH, Lewis BS. Increased diagnostic yield of small bowel tumors with capsule endoscopy. </w:t>
      </w:r>
      <w:r w:rsidRPr="00DC72B2">
        <w:rPr>
          <w:rFonts w:ascii="Arial" w:hAnsi="Arial" w:cs="Arial"/>
          <w:i/>
          <w:iCs/>
          <w:sz w:val="20"/>
          <w:szCs w:val="20"/>
        </w:rPr>
        <w:t>Cancer</w:t>
      </w:r>
      <w:r>
        <w:rPr>
          <w:rFonts w:ascii="Arial" w:hAnsi="Arial" w:cs="Arial"/>
          <w:sz w:val="20"/>
          <w:szCs w:val="20"/>
        </w:rPr>
        <w:t>.</w:t>
      </w:r>
      <w:r w:rsidRPr="00DC72B2">
        <w:rPr>
          <w:rFonts w:ascii="Arial" w:hAnsi="Arial" w:cs="Arial"/>
          <w:sz w:val="20"/>
          <w:szCs w:val="20"/>
        </w:rPr>
        <w:t> 2006;107(1):22-7.</w:t>
      </w:r>
    </w:p>
    <w:p w:rsidR="00DC72B2" w:rsidRPr="00BF6FA3" w:rsidRDefault="003E0345" w:rsidP="00F33589">
      <w:pPr>
        <w:pStyle w:val="ListParagraph"/>
        <w:numPr>
          <w:ilvl w:val="0"/>
          <w:numId w:val="1"/>
        </w:numPr>
        <w:spacing w:line="240" w:lineRule="auto"/>
        <w:jc w:val="both"/>
        <w:rPr>
          <w:rFonts w:ascii="Arial" w:hAnsi="Arial" w:cs="Arial"/>
          <w:sz w:val="20"/>
          <w:szCs w:val="20"/>
          <w:lang w:val="en-US"/>
        </w:rPr>
      </w:pPr>
      <w:r>
        <w:rPr>
          <w:rFonts w:ascii="Arial" w:hAnsi="Arial" w:cs="Arial"/>
          <w:sz w:val="20"/>
          <w:szCs w:val="20"/>
          <w:lang w:val="en-US"/>
        </w:rPr>
        <w:t>Ojha A, Zacheri J, Scheuba C, et al. Primary small bowel malignancies: single-center results of three decades.</w:t>
      </w:r>
      <w:r>
        <w:rPr>
          <w:rFonts w:ascii="Arial" w:hAnsi="Arial" w:cs="Arial"/>
          <w:i/>
          <w:sz w:val="20"/>
          <w:szCs w:val="20"/>
          <w:lang w:val="en-US"/>
        </w:rPr>
        <w:t xml:space="preserve"> J Clin Gastroenterol 2000; 30: 289-93.</w:t>
      </w:r>
      <w:r w:rsidR="00DC72B2" w:rsidRPr="008F341C">
        <w:rPr>
          <w:rFonts w:ascii="Arial" w:hAnsi="Arial" w:cs="Arial"/>
          <w:sz w:val="20"/>
          <w:szCs w:val="20"/>
          <w:lang w:val="en-US"/>
        </w:rPr>
        <w:t xml:space="preserve"> </w:t>
      </w:r>
    </w:p>
    <w:p w:rsidR="00BF6FA3" w:rsidRPr="00DA4DB4" w:rsidRDefault="00BF6FA3" w:rsidP="00F33589">
      <w:pPr>
        <w:pStyle w:val="ListParagraph"/>
        <w:numPr>
          <w:ilvl w:val="0"/>
          <w:numId w:val="1"/>
        </w:numPr>
        <w:spacing w:line="240" w:lineRule="auto"/>
        <w:jc w:val="both"/>
        <w:rPr>
          <w:rFonts w:ascii="Arial" w:hAnsi="Arial" w:cs="Arial"/>
          <w:sz w:val="20"/>
          <w:szCs w:val="20"/>
          <w:lang w:val="en-US"/>
        </w:rPr>
      </w:pPr>
      <w:r>
        <w:rPr>
          <w:rFonts w:ascii="Arial" w:hAnsi="Arial" w:cs="Arial"/>
          <w:sz w:val="20"/>
          <w:szCs w:val="20"/>
          <w:lang w:val="en-US"/>
        </w:rPr>
        <w:t>North JH, Pack MS. Malignant tumors of the small intestine</w:t>
      </w:r>
      <w:r w:rsidR="00743993">
        <w:rPr>
          <w:rFonts w:ascii="Arial" w:hAnsi="Arial" w:cs="Arial"/>
          <w:sz w:val="20"/>
          <w:szCs w:val="20"/>
          <w:lang w:val="en-US"/>
        </w:rPr>
        <w:t xml:space="preserve">: a review of 144 cases. </w:t>
      </w:r>
      <w:r w:rsidR="00743993">
        <w:rPr>
          <w:rFonts w:ascii="Arial" w:hAnsi="Arial" w:cs="Arial"/>
          <w:i/>
          <w:sz w:val="20"/>
          <w:szCs w:val="20"/>
          <w:lang w:val="en-US"/>
        </w:rPr>
        <w:t>Am Surg 2000; 66: 46-51.</w:t>
      </w:r>
    </w:p>
    <w:p w:rsidR="00F4782B" w:rsidRPr="00F4782B" w:rsidRDefault="00DA4DB4" w:rsidP="00F33589">
      <w:pPr>
        <w:pStyle w:val="ListParagraph"/>
        <w:numPr>
          <w:ilvl w:val="0"/>
          <w:numId w:val="1"/>
        </w:numPr>
        <w:spacing w:line="240" w:lineRule="auto"/>
        <w:jc w:val="both"/>
        <w:rPr>
          <w:rFonts w:ascii="Arial" w:hAnsi="Arial" w:cs="Arial"/>
          <w:sz w:val="20"/>
          <w:szCs w:val="20"/>
          <w:lang w:val="en-US"/>
        </w:rPr>
      </w:pPr>
      <w:r w:rsidRPr="00DA4DB4">
        <w:rPr>
          <w:rFonts w:ascii="Arial" w:hAnsi="Arial" w:cs="Arial"/>
          <w:sz w:val="20"/>
          <w:szCs w:val="20"/>
          <w:lang w:val="en-US"/>
        </w:rPr>
        <w:t>Jigyasu D, Bedikian AY, Stroehlein JR. Chemotherapy for primary adenocarcinoma of the small bowel. </w:t>
      </w:r>
      <w:r w:rsidRPr="002B44FC">
        <w:rPr>
          <w:rFonts w:ascii="Arial" w:hAnsi="Arial" w:cs="Arial"/>
          <w:i/>
          <w:iCs/>
          <w:sz w:val="20"/>
          <w:szCs w:val="20"/>
          <w:lang w:val="en-US"/>
        </w:rPr>
        <w:t>Cancer</w:t>
      </w:r>
      <w:r w:rsidRPr="002B44FC">
        <w:rPr>
          <w:rFonts w:ascii="Arial" w:hAnsi="Arial" w:cs="Arial"/>
          <w:sz w:val="20"/>
          <w:szCs w:val="20"/>
          <w:lang w:val="en-US"/>
        </w:rPr>
        <w:t>. 1984;53(1):23-5.</w:t>
      </w:r>
    </w:p>
    <w:p w:rsidR="00DA4DB4" w:rsidRPr="00295750" w:rsidRDefault="00F4782B" w:rsidP="00F33589">
      <w:pPr>
        <w:pStyle w:val="ListParagraph"/>
        <w:numPr>
          <w:ilvl w:val="0"/>
          <w:numId w:val="1"/>
        </w:numPr>
        <w:spacing w:line="240" w:lineRule="auto"/>
        <w:jc w:val="both"/>
        <w:rPr>
          <w:rFonts w:ascii="Arial" w:hAnsi="Arial" w:cs="Arial"/>
          <w:sz w:val="20"/>
          <w:szCs w:val="20"/>
          <w:lang w:val="en-US"/>
        </w:rPr>
      </w:pPr>
      <w:r w:rsidRPr="00F4782B">
        <w:rPr>
          <w:rFonts w:ascii="Arial" w:hAnsi="Arial" w:cs="Arial"/>
          <w:sz w:val="20"/>
          <w:szCs w:val="20"/>
          <w:lang w:val="en-US"/>
        </w:rPr>
        <w:t>Ouriel K, Adams JT. Adenocarcinoma of the small intestine. </w:t>
      </w:r>
      <w:r w:rsidRPr="00F4782B">
        <w:rPr>
          <w:rFonts w:ascii="Arial" w:hAnsi="Arial" w:cs="Arial"/>
          <w:i/>
          <w:iCs/>
          <w:sz w:val="20"/>
          <w:szCs w:val="20"/>
          <w:lang w:val="en-US"/>
        </w:rPr>
        <w:t>Am J Surg</w:t>
      </w:r>
      <w:r>
        <w:rPr>
          <w:rFonts w:ascii="Arial" w:hAnsi="Arial" w:cs="Arial"/>
          <w:sz w:val="20"/>
          <w:szCs w:val="20"/>
          <w:lang w:val="en-US"/>
        </w:rPr>
        <w:t>.</w:t>
      </w:r>
      <w:r w:rsidRPr="00F4782B">
        <w:rPr>
          <w:rFonts w:ascii="Arial" w:hAnsi="Arial" w:cs="Arial"/>
          <w:sz w:val="20"/>
          <w:szCs w:val="20"/>
          <w:lang w:val="en-US"/>
        </w:rPr>
        <w:t xml:space="preserve"> 1984;147(1):66-71. </w:t>
      </w:r>
    </w:p>
    <w:p w:rsidR="00295750" w:rsidRPr="006B59E8" w:rsidRDefault="00295750" w:rsidP="00F33589">
      <w:pPr>
        <w:pStyle w:val="ListParagraph"/>
        <w:numPr>
          <w:ilvl w:val="0"/>
          <w:numId w:val="1"/>
        </w:numPr>
        <w:spacing w:line="240" w:lineRule="auto"/>
        <w:jc w:val="both"/>
        <w:rPr>
          <w:rFonts w:ascii="Arial" w:hAnsi="Arial" w:cs="Arial"/>
          <w:sz w:val="20"/>
          <w:szCs w:val="20"/>
          <w:lang w:val="en-US"/>
        </w:rPr>
      </w:pPr>
      <w:r w:rsidRPr="00295750">
        <w:rPr>
          <w:rFonts w:ascii="Arial" w:hAnsi="Arial" w:cs="Arial"/>
          <w:sz w:val="20"/>
          <w:szCs w:val="20"/>
          <w:lang w:val="en-US"/>
        </w:rPr>
        <w:t>Crawley C, Ross P, Norman A, et al. The Royal Marsden experience of a small bowel adenocarcinoma treated with protracted venous infusion 5-fluorouracil. </w:t>
      </w:r>
      <w:r w:rsidRPr="00295750">
        <w:rPr>
          <w:rFonts w:ascii="Arial" w:hAnsi="Arial" w:cs="Arial"/>
          <w:i/>
          <w:iCs/>
          <w:sz w:val="20"/>
          <w:szCs w:val="20"/>
        </w:rPr>
        <w:t>Br J Cancer</w:t>
      </w:r>
      <w:r>
        <w:rPr>
          <w:rFonts w:ascii="Arial" w:hAnsi="Arial" w:cs="Arial"/>
          <w:sz w:val="20"/>
          <w:szCs w:val="20"/>
        </w:rPr>
        <w:t>. </w:t>
      </w:r>
      <w:r w:rsidRPr="00295750">
        <w:rPr>
          <w:rFonts w:ascii="Arial" w:hAnsi="Arial" w:cs="Arial"/>
          <w:sz w:val="20"/>
          <w:szCs w:val="20"/>
        </w:rPr>
        <w:t>1998;78(4):508-10. </w:t>
      </w:r>
      <w:r w:rsidRPr="00F4782B">
        <w:rPr>
          <w:rFonts w:ascii="Arial" w:hAnsi="Arial" w:cs="Arial"/>
          <w:sz w:val="20"/>
          <w:szCs w:val="20"/>
          <w:lang w:val="en-US"/>
        </w:rPr>
        <w:t xml:space="preserve"> </w:t>
      </w:r>
    </w:p>
    <w:p w:rsidR="00234731" w:rsidRPr="00234731" w:rsidRDefault="006B59E8" w:rsidP="00F33589">
      <w:pPr>
        <w:pStyle w:val="ListParagraph"/>
        <w:numPr>
          <w:ilvl w:val="0"/>
          <w:numId w:val="1"/>
        </w:numPr>
        <w:spacing w:line="240" w:lineRule="auto"/>
        <w:jc w:val="both"/>
        <w:rPr>
          <w:rFonts w:ascii="Arial" w:hAnsi="Arial" w:cs="Arial"/>
          <w:sz w:val="20"/>
          <w:szCs w:val="20"/>
          <w:lang w:val="en-US"/>
        </w:rPr>
      </w:pPr>
      <w:r w:rsidRPr="006B59E8">
        <w:rPr>
          <w:rFonts w:ascii="Arial" w:hAnsi="Arial" w:cs="Arial"/>
          <w:sz w:val="20"/>
          <w:szCs w:val="20"/>
          <w:lang w:val="en-US"/>
        </w:rPr>
        <w:t>Bettini AC, Beretta GD, Sironi P, et al. Chemotherapy in small bowel adenocarcinoma associated with celiac disease: a report of three cases. </w:t>
      </w:r>
      <w:r w:rsidRPr="002B44FC">
        <w:rPr>
          <w:rFonts w:ascii="Arial" w:hAnsi="Arial" w:cs="Arial"/>
          <w:i/>
          <w:iCs/>
          <w:sz w:val="20"/>
          <w:szCs w:val="20"/>
          <w:lang w:val="en-US"/>
        </w:rPr>
        <w:t>Tumori</w:t>
      </w:r>
      <w:r w:rsidRPr="002B44FC">
        <w:rPr>
          <w:rFonts w:ascii="Arial" w:hAnsi="Arial" w:cs="Arial"/>
          <w:sz w:val="20"/>
          <w:szCs w:val="20"/>
          <w:lang w:val="en-US"/>
        </w:rPr>
        <w:t>. 2003;89(2):193-5. </w:t>
      </w:r>
    </w:p>
    <w:p w:rsidR="006B59E8" w:rsidRPr="00337555" w:rsidRDefault="00234731" w:rsidP="00F33589">
      <w:pPr>
        <w:pStyle w:val="ListParagraph"/>
        <w:numPr>
          <w:ilvl w:val="0"/>
          <w:numId w:val="1"/>
        </w:numPr>
        <w:spacing w:line="240" w:lineRule="auto"/>
        <w:jc w:val="both"/>
        <w:rPr>
          <w:rFonts w:ascii="Arial" w:hAnsi="Arial" w:cs="Arial"/>
          <w:sz w:val="20"/>
          <w:szCs w:val="20"/>
          <w:lang w:val="en-US"/>
        </w:rPr>
      </w:pPr>
      <w:r>
        <w:rPr>
          <w:rFonts w:ascii="Arial" w:hAnsi="Arial" w:cs="Arial"/>
          <w:sz w:val="20"/>
          <w:szCs w:val="20"/>
          <w:lang w:val="en-US"/>
        </w:rPr>
        <w:t>Coia L, Hoffman J, Scher</w:t>
      </w:r>
      <w:r w:rsidR="00AA0BB6">
        <w:rPr>
          <w:rFonts w:ascii="Arial" w:hAnsi="Arial" w:cs="Arial"/>
          <w:sz w:val="20"/>
          <w:szCs w:val="20"/>
          <w:lang w:val="en-US"/>
        </w:rPr>
        <w:t xml:space="preserve"> R, et al. Preoperative chemoradiation for adenocarcinoma of the pancreas and duodenum. </w:t>
      </w:r>
      <w:r w:rsidR="00AA0BB6">
        <w:rPr>
          <w:rFonts w:ascii="Arial" w:hAnsi="Arial" w:cs="Arial"/>
          <w:i/>
          <w:sz w:val="20"/>
          <w:szCs w:val="20"/>
          <w:lang w:val="en-US"/>
        </w:rPr>
        <w:t>Int J Rad Onc Biol Phys 1994; 30: 161-67.</w:t>
      </w:r>
      <w:r w:rsidR="006B59E8" w:rsidRPr="006B59E8">
        <w:rPr>
          <w:rFonts w:ascii="Arial" w:hAnsi="Arial" w:cs="Arial"/>
          <w:sz w:val="20"/>
          <w:szCs w:val="20"/>
          <w:lang w:val="en-US"/>
        </w:rPr>
        <w:t xml:space="preserve"> </w:t>
      </w:r>
    </w:p>
    <w:p w:rsidR="00337555" w:rsidRPr="00EB7C1E" w:rsidRDefault="00337555" w:rsidP="00F33589">
      <w:pPr>
        <w:pStyle w:val="ListParagraph"/>
        <w:numPr>
          <w:ilvl w:val="0"/>
          <w:numId w:val="1"/>
        </w:numPr>
        <w:spacing w:line="240" w:lineRule="auto"/>
        <w:jc w:val="both"/>
        <w:rPr>
          <w:rFonts w:ascii="Arial" w:hAnsi="Arial" w:cs="Arial"/>
          <w:sz w:val="20"/>
          <w:szCs w:val="20"/>
          <w:lang w:val="en-US"/>
        </w:rPr>
      </w:pPr>
      <w:r w:rsidRPr="00E32CDC">
        <w:rPr>
          <w:rFonts w:ascii="Arial" w:hAnsi="Arial" w:cs="Arial"/>
          <w:sz w:val="20"/>
          <w:szCs w:val="20"/>
          <w:lang w:val="en-US"/>
        </w:rPr>
        <w:t>Howe JR, Karnell LH, Menck HR, Scott-Conner C. The American College of Surgeons Commission on Cancer and the American Cancer Society. Adenocarcinoma of the small bowel: review of the National Cancer Data Base, 1985-1995. </w:t>
      </w:r>
      <w:r w:rsidRPr="00E32CDC">
        <w:rPr>
          <w:rFonts w:ascii="Arial" w:hAnsi="Arial" w:cs="Arial"/>
          <w:i/>
          <w:iCs/>
          <w:sz w:val="20"/>
          <w:szCs w:val="20"/>
        </w:rPr>
        <w:t>Cancer</w:t>
      </w:r>
      <w:r w:rsidR="00E32CDC">
        <w:rPr>
          <w:rFonts w:ascii="Arial" w:hAnsi="Arial" w:cs="Arial"/>
          <w:sz w:val="20"/>
          <w:szCs w:val="20"/>
        </w:rPr>
        <w:t xml:space="preserve">. </w:t>
      </w:r>
      <w:r w:rsidRPr="00E32CDC">
        <w:rPr>
          <w:rFonts w:ascii="Arial" w:hAnsi="Arial" w:cs="Arial"/>
          <w:sz w:val="20"/>
          <w:szCs w:val="20"/>
        </w:rPr>
        <w:t>1999;86(12):2693-706. </w:t>
      </w:r>
      <w:r w:rsidR="00E32CDC" w:rsidRPr="00E32CDC">
        <w:rPr>
          <w:rFonts w:ascii="Arial" w:hAnsi="Arial" w:cs="Arial"/>
          <w:sz w:val="20"/>
          <w:szCs w:val="20"/>
          <w:lang w:val="en-US"/>
        </w:rPr>
        <w:t xml:space="preserve"> </w:t>
      </w:r>
    </w:p>
    <w:p w:rsidR="00EB7C1E" w:rsidRPr="0084535B" w:rsidRDefault="00EB7C1E" w:rsidP="00F33589">
      <w:pPr>
        <w:pStyle w:val="ListParagraph"/>
        <w:numPr>
          <w:ilvl w:val="0"/>
          <w:numId w:val="1"/>
        </w:numPr>
        <w:spacing w:line="240" w:lineRule="auto"/>
        <w:jc w:val="both"/>
        <w:rPr>
          <w:rFonts w:ascii="Arial" w:hAnsi="Arial" w:cs="Arial"/>
          <w:sz w:val="20"/>
          <w:szCs w:val="20"/>
          <w:lang w:val="en-US"/>
        </w:rPr>
      </w:pPr>
      <w:r w:rsidRPr="00EB7C1E">
        <w:rPr>
          <w:rFonts w:ascii="Arial" w:hAnsi="Arial" w:cs="Arial"/>
          <w:sz w:val="20"/>
          <w:szCs w:val="20"/>
          <w:lang w:val="en-US"/>
        </w:rPr>
        <w:t>Bakaeen FG, Murr MM, Sarr MG, et al. What prognostic factors are important in duodenal adenocarcinoma?. </w:t>
      </w:r>
      <w:r w:rsidRPr="00EB7C1E">
        <w:rPr>
          <w:rFonts w:ascii="Arial" w:hAnsi="Arial" w:cs="Arial"/>
          <w:i/>
          <w:iCs/>
          <w:sz w:val="20"/>
          <w:szCs w:val="20"/>
        </w:rPr>
        <w:t>Arch Surg</w:t>
      </w:r>
      <w:r>
        <w:rPr>
          <w:rFonts w:ascii="Arial" w:hAnsi="Arial" w:cs="Arial"/>
          <w:sz w:val="20"/>
          <w:szCs w:val="20"/>
        </w:rPr>
        <w:t>.</w:t>
      </w:r>
      <w:r w:rsidRPr="00EB7C1E">
        <w:rPr>
          <w:rFonts w:ascii="Arial" w:hAnsi="Arial" w:cs="Arial"/>
          <w:sz w:val="20"/>
          <w:szCs w:val="20"/>
        </w:rPr>
        <w:t> 2000;135(6):635-41; discussion 641-2. </w:t>
      </w:r>
      <w:r w:rsidRPr="00EB7C1E">
        <w:rPr>
          <w:rFonts w:ascii="Arial" w:hAnsi="Arial" w:cs="Arial"/>
          <w:sz w:val="20"/>
          <w:szCs w:val="20"/>
          <w:lang w:val="en-US"/>
        </w:rPr>
        <w:t xml:space="preserve"> </w:t>
      </w:r>
    </w:p>
    <w:p w:rsidR="005D00E0" w:rsidRPr="005D00E0" w:rsidRDefault="0084535B" w:rsidP="005D00E0">
      <w:pPr>
        <w:pStyle w:val="ListParagraph"/>
        <w:numPr>
          <w:ilvl w:val="0"/>
          <w:numId w:val="1"/>
        </w:numPr>
        <w:spacing w:line="240" w:lineRule="auto"/>
        <w:jc w:val="both"/>
        <w:rPr>
          <w:rFonts w:ascii="Arial" w:hAnsi="Arial" w:cs="Arial"/>
          <w:sz w:val="20"/>
          <w:szCs w:val="20"/>
          <w:lang w:val="en-US"/>
        </w:rPr>
      </w:pPr>
      <w:r w:rsidRPr="0084535B">
        <w:rPr>
          <w:rFonts w:ascii="Arial" w:hAnsi="Arial" w:cs="Arial"/>
          <w:sz w:val="20"/>
          <w:szCs w:val="20"/>
          <w:lang w:val="en-US"/>
        </w:rPr>
        <w:lastRenderedPageBreak/>
        <w:t>Ryder NM, Ko CY, Hines OJ, et al. Primary duodenal adenocarcinoma: a 40-year experience. </w:t>
      </w:r>
      <w:r w:rsidRPr="002B44FC">
        <w:rPr>
          <w:rFonts w:ascii="Arial" w:hAnsi="Arial" w:cs="Arial"/>
          <w:i/>
          <w:iCs/>
          <w:sz w:val="20"/>
          <w:szCs w:val="20"/>
          <w:lang w:val="en-US"/>
        </w:rPr>
        <w:t>Arch Surg</w:t>
      </w:r>
      <w:r w:rsidRPr="002B44FC">
        <w:rPr>
          <w:rFonts w:ascii="Arial" w:hAnsi="Arial" w:cs="Arial"/>
          <w:sz w:val="20"/>
          <w:szCs w:val="20"/>
          <w:lang w:val="en-US"/>
        </w:rPr>
        <w:t>. 2000;135(9):1070-4; discussion 1074-5.</w:t>
      </w:r>
    </w:p>
    <w:p w:rsidR="0084535B" w:rsidRPr="00F21940" w:rsidRDefault="00E80CBB" w:rsidP="005D00E0">
      <w:pPr>
        <w:pStyle w:val="ListParagraph"/>
        <w:numPr>
          <w:ilvl w:val="0"/>
          <w:numId w:val="1"/>
        </w:numPr>
        <w:spacing w:line="240" w:lineRule="auto"/>
        <w:jc w:val="both"/>
        <w:rPr>
          <w:rFonts w:ascii="Arial" w:hAnsi="Arial" w:cs="Arial"/>
          <w:sz w:val="20"/>
          <w:szCs w:val="20"/>
          <w:lang w:val="en-US"/>
        </w:rPr>
      </w:pPr>
      <w:r w:rsidRPr="005D00E0">
        <w:rPr>
          <w:rFonts w:ascii="Arial" w:hAnsi="Arial" w:cs="Arial"/>
          <w:sz w:val="20"/>
          <w:szCs w:val="20"/>
          <w:lang w:val="en-US"/>
        </w:rPr>
        <w:t>Thorson A, Biorck G, Bjorkman G, Waldenstrom J. Malignant carcinoid of the small intestine with metastases to the liver, valvular disease of the right side of the heart (pulmonary stenosis and tricuspid regurgitation without septal defects), peripheral vasomotor symptoms, bronchoconstriction, and an unusual type of cyanosis; a clinical and pathologic syndrome. </w:t>
      </w:r>
      <w:r w:rsidRPr="005D00E0">
        <w:rPr>
          <w:rFonts w:ascii="Arial" w:hAnsi="Arial" w:cs="Arial"/>
          <w:i/>
          <w:iCs/>
          <w:sz w:val="20"/>
          <w:szCs w:val="20"/>
          <w:lang w:val="en-US"/>
        </w:rPr>
        <w:t>Am Heart J</w:t>
      </w:r>
      <w:r w:rsidR="005D00E0">
        <w:rPr>
          <w:rFonts w:ascii="Arial" w:hAnsi="Arial" w:cs="Arial"/>
          <w:sz w:val="20"/>
          <w:szCs w:val="20"/>
          <w:lang w:val="en-US"/>
        </w:rPr>
        <w:t>.</w:t>
      </w:r>
      <w:r w:rsidR="005D00E0">
        <w:rPr>
          <w:rFonts w:ascii="Arial" w:hAnsi="Arial" w:cs="Arial"/>
          <w:sz w:val="20"/>
          <w:szCs w:val="20"/>
        </w:rPr>
        <w:t xml:space="preserve"> </w:t>
      </w:r>
      <w:r w:rsidRPr="005D00E0">
        <w:rPr>
          <w:rFonts w:ascii="Arial" w:hAnsi="Arial" w:cs="Arial"/>
          <w:sz w:val="20"/>
          <w:szCs w:val="20"/>
          <w:lang w:val="en-US"/>
        </w:rPr>
        <w:t>1954;47(5):795-817.</w:t>
      </w:r>
      <w:r w:rsidR="0084535B" w:rsidRPr="005D00E0">
        <w:rPr>
          <w:rFonts w:ascii="Arial" w:hAnsi="Arial" w:cs="Arial"/>
          <w:sz w:val="20"/>
          <w:szCs w:val="20"/>
          <w:lang w:val="en-US"/>
        </w:rPr>
        <w:t xml:space="preserve"> </w:t>
      </w:r>
    </w:p>
    <w:p w:rsidR="000A1768" w:rsidRPr="000A1768" w:rsidRDefault="00F21940" w:rsidP="000A1768">
      <w:pPr>
        <w:pStyle w:val="ListParagraph"/>
        <w:numPr>
          <w:ilvl w:val="0"/>
          <w:numId w:val="1"/>
        </w:numPr>
        <w:spacing w:line="240" w:lineRule="auto"/>
        <w:jc w:val="both"/>
        <w:rPr>
          <w:rFonts w:ascii="Arial" w:hAnsi="Arial" w:cs="Arial"/>
          <w:sz w:val="20"/>
          <w:szCs w:val="20"/>
          <w:lang w:val="en-US"/>
        </w:rPr>
      </w:pPr>
      <w:r w:rsidRPr="00F21940">
        <w:rPr>
          <w:rFonts w:ascii="Arial" w:hAnsi="Arial" w:cs="Arial"/>
          <w:sz w:val="20"/>
          <w:szCs w:val="20"/>
          <w:lang w:val="en-US"/>
        </w:rPr>
        <w:t>Pearse AG. The cytochemistry and ultrastructure of polypeptide hormone-producing cells of the APUD series and the embryologic, physiologic and pathologic implications of the concept. </w:t>
      </w:r>
      <w:r w:rsidRPr="00F21940">
        <w:rPr>
          <w:rFonts w:ascii="Arial" w:hAnsi="Arial" w:cs="Arial"/>
          <w:i/>
          <w:iCs/>
          <w:sz w:val="20"/>
          <w:szCs w:val="20"/>
        </w:rPr>
        <w:t>J Histochem Cytochem</w:t>
      </w:r>
      <w:r>
        <w:rPr>
          <w:rFonts w:ascii="Arial" w:hAnsi="Arial" w:cs="Arial"/>
          <w:sz w:val="20"/>
          <w:szCs w:val="20"/>
        </w:rPr>
        <w:t xml:space="preserve">. </w:t>
      </w:r>
      <w:r w:rsidRPr="00F21940">
        <w:rPr>
          <w:rFonts w:ascii="Arial" w:hAnsi="Arial" w:cs="Arial"/>
          <w:sz w:val="20"/>
          <w:szCs w:val="20"/>
        </w:rPr>
        <w:t>1969;17(5):303-13.</w:t>
      </w:r>
    </w:p>
    <w:p w:rsidR="00655BF6" w:rsidRPr="00655BF6" w:rsidRDefault="000A1768" w:rsidP="00655BF6">
      <w:pPr>
        <w:pStyle w:val="ListParagraph"/>
        <w:numPr>
          <w:ilvl w:val="0"/>
          <w:numId w:val="1"/>
        </w:numPr>
        <w:spacing w:line="240" w:lineRule="auto"/>
        <w:jc w:val="both"/>
        <w:rPr>
          <w:rFonts w:ascii="Arial" w:hAnsi="Arial" w:cs="Arial"/>
          <w:sz w:val="20"/>
          <w:szCs w:val="20"/>
          <w:lang w:val="en-US"/>
        </w:rPr>
      </w:pPr>
      <w:r w:rsidRPr="000A1768">
        <w:rPr>
          <w:rFonts w:ascii="Arial" w:hAnsi="Arial" w:cs="Arial"/>
          <w:sz w:val="20"/>
          <w:szCs w:val="20"/>
          <w:lang w:val="en-US"/>
        </w:rPr>
        <w:t>Deans GT, Spence RA. Neoplastic lesions of the appendix. </w:t>
      </w:r>
      <w:r w:rsidRPr="000A1768">
        <w:rPr>
          <w:rFonts w:ascii="Arial" w:hAnsi="Arial" w:cs="Arial"/>
          <w:i/>
          <w:iCs/>
          <w:sz w:val="20"/>
          <w:szCs w:val="20"/>
          <w:lang w:val="en-US"/>
        </w:rPr>
        <w:t>Br J Surg</w:t>
      </w:r>
      <w:r>
        <w:rPr>
          <w:rFonts w:ascii="Arial" w:hAnsi="Arial" w:cs="Arial"/>
          <w:sz w:val="20"/>
          <w:szCs w:val="20"/>
          <w:lang w:val="en-US"/>
        </w:rPr>
        <w:t>. </w:t>
      </w:r>
      <w:r w:rsidRPr="000A1768">
        <w:rPr>
          <w:rFonts w:ascii="Arial" w:hAnsi="Arial" w:cs="Arial"/>
          <w:sz w:val="20"/>
          <w:szCs w:val="20"/>
          <w:lang w:val="en-US"/>
        </w:rPr>
        <w:t>1995;82(3):299-306.</w:t>
      </w:r>
    </w:p>
    <w:p w:rsidR="00C950F6" w:rsidRPr="00C950F6" w:rsidRDefault="00655BF6" w:rsidP="00C950F6">
      <w:pPr>
        <w:pStyle w:val="ListParagraph"/>
        <w:numPr>
          <w:ilvl w:val="0"/>
          <w:numId w:val="1"/>
        </w:numPr>
        <w:spacing w:line="240" w:lineRule="auto"/>
        <w:jc w:val="both"/>
        <w:rPr>
          <w:rFonts w:ascii="Arial" w:hAnsi="Arial" w:cs="Arial"/>
          <w:sz w:val="20"/>
          <w:szCs w:val="20"/>
          <w:lang w:val="en-US"/>
        </w:rPr>
      </w:pPr>
      <w:r w:rsidRPr="00655BF6">
        <w:rPr>
          <w:rFonts w:ascii="Arial" w:hAnsi="Arial" w:cs="Arial"/>
          <w:sz w:val="20"/>
          <w:szCs w:val="20"/>
          <w:lang w:val="en-US"/>
        </w:rPr>
        <w:t>Sugimoto E, Lorelius LE, Eriksson B, Oberg K. Midgut carcinoid tumours. CT appearance. </w:t>
      </w:r>
      <w:r w:rsidRPr="00655BF6">
        <w:rPr>
          <w:rFonts w:ascii="Arial" w:hAnsi="Arial" w:cs="Arial"/>
          <w:i/>
          <w:iCs/>
          <w:sz w:val="20"/>
          <w:szCs w:val="20"/>
          <w:lang w:val="en-US"/>
        </w:rPr>
        <w:t>Acta Radiol</w:t>
      </w:r>
      <w:r>
        <w:rPr>
          <w:rFonts w:ascii="Arial" w:hAnsi="Arial" w:cs="Arial"/>
          <w:sz w:val="20"/>
          <w:szCs w:val="20"/>
          <w:lang w:val="en-US"/>
        </w:rPr>
        <w:t>. </w:t>
      </w:r>
      <w:r w:rsidRPr="00655BF6">
        <w:rPr>
          <w:rFonts w:ascii="Arial" w:hAnsi="Arial" w:cs="Arial"/>
          <w:sz w:val="20"/>
          <w:szCs w:val="20"/>
          <w:lang w:val="en-US"/>
        </w:rPr>
        <w:t xml:space="preserve">1995;36(4):367-71.  </w:t>
      </w:r>
    </w:p>
    <w:p w:rsidR="00F12FFE" w:rsidRPr="00F12FFE" w:rsidRDefault="00C950F6" w:rsidP="00F12FFE">
      <w:pPr>
        <w:pStyle w:val="ListParagraph"/>
        <w:numPr>
          <w:ilvl w:val="0"/>
          <w:numId w:val="1"/>
        </w:numPr>
        <w:spacing w:line="240" w:lineRule="auto"/>
        <w:jc w:val="both"/>
        <w:rPr>
          <w:rFonts w:ascii="Arial" w:hAnsi="Arial" w:cs="Arial"/>
          <w:sz w:val="20"/>
          <w:szCs w:val="20"/>
          <w:lang w:val="en-US"/>
        </w:rPr>
      </w:pPr>
      <w:r w:rsidRPr="00C950F6">
        <w:rPr>
          <w:rFonts w:ascii="Arial" w:hAnsi="Arial" w:cs="Arial"/>
          <w:sz w:val="20"/>
          <w:szCs w:val="20"/>
          <w:lang w:val="en-US"/>
        </w:rPr>
        <w:t>Diaco DS, Hajarizadeh H, Mueller CR, Fletcher WS, Pommier RF, Woltering EA. Treatment of metastatic carcinoid tumors using multimodality therapy of octreotide acetate, intra-arterial chemotherapy, and hepatic arterial chemoembolization. </w:t>
      </w:r>
      <w:r w:rsidRPr="00282816">
        <w:rPr>
          <w:rFonts w:ascii="Arial" w:hAnsi="Arial" w:cs="Arial"/>
          <w:i/>
          <w:iCs/>
          <w:sz w:val="20"/>
          <w:szCs w:val="20"/>
          <w:lang w:val="en-US"/>
        </w:rPr>
        <w:t>Am J Surg</w:t>
      </w:r>
      <w:r w:rsidRPr="00282816">
        <w:rPr>
          <w:rFonts w:ascii="Arial" w:hAnsi="Arial" w:cs="Arial"/>
          <w:sz w:val="20"/>
          <w:szCs w:val="20"/>
          <w:lang w:val="en-US"/>
        </w:rPr>
        <w:t>. 1995;169(5):523-8.</w:t>
      </w:r>
    </w:p>
    <w:p w:rsidR="00F12FFE" w:rsidRPr="00B85493" w:rsidRDefault="00F12FFE" w:rsidP="00F12FFE">
      <w:pPr>
        <w:pStyle w:val="ListParagraph"/>
        <w:numPr>
          <w:ilvl w:val="0"/>
          <w:numId w:val="1"/>
        </w:numPr>
        <w:spacing w:line="240" w:lineRule="auto"/>
        <w:jc w:val="both"/>
        <w:rPr>
          <w:rFonts w:ascii="Arial" w:hAnsi="Arial" w:cs="Arial"/>
          <w:sz w:val="20"/>
          <w:szCs w:val="20"/>
          <w:lang w:val="en-US"/>
        </w:rPr>
      </w:pPr>
      <w:r w:rsidRPr="00F12FFE">
        <w:rPr>
          <w:rFonts w:ascii="Arial" w:hAnsi="Arial" w:cs="Arial"/>
          <w:sz w:val="20"/>
          <w:szCs w:val="20"/>
          <w:lang w:val="en-US"/>
        </w:rPr>
        <w:t>Carrasco CH, Charnsangavej C, Ajani J, Samaan NA, Richli W, Wallace S. The carcinoid syndrome: palliation by hepatic artery embolization. </w:t>
      </w:r>
      <w:r w:rsidRPr="00F12FFE">
        <w:rPr>
          <w:rFonts w:ascii="Arial" w:hAnsi="Arial" w:cs="Arial"/>
          <w:i/>
          <w:iCs/>
          <w:sz w:val="20"/>
          <w:szCs w:val="20"/>
          <w:lang w:val="en-US"/>
        </w:rPr>
        <w:t>AJR Am J Roentgenol</w:t>
      </w:r>
      <w:r>
        <w:rPr>
          <w:rFonts w:ascii="Arial" w:hAnsi="Arial" w:cs="Arial"/>
          <w:sz w:val="20"/>
          <w:szCs w:val="20"/>
          <w:lang w:val="en-US"/>
        </w:rPr>
        <w:t>.</w:t>
      </w:r>
      <w:r w:rsidRPr="00F12FFE">
        <w:rPr>
          <w:rFonts w:ascii="Arial" w:hAnsi="Arial" w:cs="Arial"/>
          <w:sz w:val="20"/>
          <w:szCs w:val="20"/>
          <w:lang w:val="en-US"/>
        </w:rPr>
        <w:t xml:space="preserve"> 1986;147(1):149-54. </w:t>
      </w:r>
    </w:p>
    <w:p w:rsidR="00B85493" w:rsidRPr="00661220" w:rsidRDefault="00B85493" w:rsidP="00F12FFE">
      <w:pPr>
        <w:pStyle w:val="ListParagraph"/>
        <w:numPr>
          <w:ilvl w:val="0"/>
          <w:numId w:val="1"/>
        </w:numPr>
        <w:spacing w:line="240" w:lineRule="auto"/>
        <w:jc w:val="both"/>
        <w:rPr>
          <w:rFonts w:ascii="Arial" w:hAnsi="Arial" w:cs="Arial"/>
          <w:sz w:val="20"/>
          <w:szCs w:val="20"/>
          <w:lang w:val="en-US"/>
        </w:rPr>
      </w:pPr>
      <w:r w:rsidRPr="00B85493">
        <w:rPr>
          <w:rFonts w:ascii="Arial" w:hAnsi="Arial" w:cs="Arial"/>
          <w:sz w:val="20"/>
          <w:szCs w:val="20"/>
          <w:lang w:val="en-US"/>
        </w:rPr>
        <w:t>National Comprehensive Cancer Network. NCCN Clinical Practice Guidelines in Oncology.</w:t>
      </w:r>
    </w:p>
    <w:p w:rsidR="00D83C1F" w:rsidRDefault="00661220" w:rsidP="00D83C1F">
      <w:pPr>
        <w:pStyle w:val="ListParagraph"/>
        <w:numPr>
          <w:ilvl w:val="0"/>
          <w:numId w:val="1"/>
        </w:numPr>
        <w:spacing w:line="240" w:lineRule="auto"/>
        <w:jc w:val="both"/>
        <w:rPr>
          <w:rFonts w:ascii="Arial" w:hAnsi="Arial" w:cs="Arial"/>
          <w:sz w:val="20"/>
          <w:szCs w:val="20"/>
          <w:lang w:val="en-US"/>
        </w:rPr>
      </w:pPr>
      <w:r w:rsidRPr="00070ED1">
        <w:rPr>
          <w:rFonts w:ascii="Arial" w:hAnsi="Arial" w:cs="Arial"/>
          <w:sz w:val="20"/>
          <w:szCs w:val="20"/>
          <w:lang w:val="en-US"/>
        </w:rPr>
        <w:t>Mazur MT, Clark HB. Gastric stromal tumors. Reappraisal of histogenesis. </w:t>
      </w:r>
      <w:r w:rsidRPr="00070ED1">
        <w:rPr>
          <w:rFonts w:ascii="Arial" w:hAnsi="Arial" w:cs="Arial"/>
          <w:i/>
          <w:iCs/>
          <w:sz w:val="20"/>
          <w:szCs w:val="20"/>
          <w:lang w:val="en-US"/>
        </w:rPr>
        <w:t>Am J Surg Pathol</w:t>
      </w:r>
      <w:r w:rsidRPr="00070ED1">
        <w:rPr>
          <w:rFonts w:ascii="Arial" w:hAnsi="Arial" w:cs="Arial"/>
          <w:sz w:val="20"/>
          <w:szCs w:val="20"/>
          <w:lang w:val="en-US"/>
        </w:rPr>
        <w:t>. </w:t>
      </w:r>
      <w:r w:rsidRPr="00070ED1">
        <w:rPr>
          <w:rFonts w:ascii="Arial" w:hAnsi="Arial" w:cs="Arial"/>
          <w:sz w:val="20"/>
          <w:szCs w:val="20"/>
        </w:rPr>
        <w:t>1983;7(6):507-19.</w:t>
      </w:r>
      <w:r w:rsidR="00070ED1" w:rsidRPr="00070ED1">
        <w:rPr>
          <w:rFonts w:ascii="Arial" w:hAnsi="Arial" w:cs="Arial"/>
          <w:sz w:val="20"/>
          <w:szCs w:val="20"/>
          <w:lang w:val="en-US"/>
        </w:rPr>
        <w:t xml:space="preserve"> </w:t>
      </w:r>
    </w:p>
    <w:p w:rsidR="00D65E18" w:rsidRPr="00B144D7" w:rsidRDefault="00D65E18" w:rsidP="00D83C1F">
      <w:pPr>
        <w:pStyle w:val="ListParagraph"/>
        <w:numPr>
          <w:ilvl w:val="0"/>
          <w:numId w:val="1"/>
        </w:numPr>
        <w:spacing w:line="240" w:lineRule="auto"/>
        <w:jc w:val="both"/>
        <w:rPr>
          <w:rFonts w:ascii="Arial" w:hAnsi="Arial" w:cs="Arial"/>
          <w:sz w:val="20"/>
          <w:szCs w:val="20"/>
          <w:lang w:val="en-US"/>
        </w:rPr>
      </w:pPr>
      <w:r w:rsidRPr="00D83C1F">
        <w:rPr>
          <w:rFonts w:ascii="Arial" w:hAnsi="Arial" w:cs="Arial"/>
          <w:sz w:val="20"/>
          <w:szCs w:val="20"/>
          <w:lang w:val="en-US"/>
        </w:rPr>
        <w:t>Kindblom LG, Remotti HE, Aldenborg F, Meis-Kindblom JM. Gastrointestinal pacemaker cell tumor (GIPACT): gastrointestinal stromal tumors show phenotypic characteristics of the interstitial cells of Cajal. </w:t>
      </w:r>
      <w:r w:rsidRPr="00D83C1F">
        <w:rPr>
          <w:rFonts w:ascii="Arial" w:hAnsi="Arial" w:cs="Arial"/>
          <w:i/>
          <w:iCs/>
          <w:sz w:val="20"/>
          <w:szCs w:val="20"/>
        </w:rPr>
        <w:t>Am J Pathol</w:t>
      </w:r>
      <w:r w:rsidRPr="00D83C1F">
        <w:rPr>
          <w:rFonts w:ascii="Arial" w:hAnsi="Arial" w:cs="Arial"/>
          <w:sz w:val="20"/>
          <w:szCs w:val="20"/>
        </w:rPr>
        <w:t>. May 1998;152(5):1259-69.</w:t>
      </w:r>
      <w:r w:rsidR="00D83C1F" w:rsidRPr="00D83C1F">
        <w:rPr>
          <w:rFonts w:ascii="Arial" w:hAnsi="Arial" w:cs="Arial"/>
          <w:sz w:val="20"/>
          <w:szCs w:val="20"/>
          <w:lang w:val="en-US"/>
        </w:rPr>
        <w:t xml:space="preserve"> </w:t>
      </w:r>
    </w:p>
    <w:p w:rsidR="00972848" w:rsidRPr="00972848" w:rsidRDefault="00B144D7" w:rsidP="00972848">
      <w:pPr>
        <w:pStyle w:val="ListParagraph"/>
        <w:numPr>
          <w:ilvl w:val="0"/>
          <w:numId w:val="1"/>
        </w:numPr>
        <w:spacing w:line="240" w:lineRule="auto"/>
        <w:jc w:val="both"/>
        <w:rPr>
          <w:rFonts w:ascii="Arial" w:hAnsi="Arial" w:cs="Arial"/>
          <w:sz w:val="20"/>
          <w:szCs w:val="20"/>
          <w:lang w:val="en-US"/>
        </w:rPr>
      </w:pPr>
      <w:r w:rsidRPr="00B144D7">
        <w:rPr>
          <w:rFonts w:ascii="Arial" w:hAnsi="Arial" w:cs="Arial"/>
          <w:sz w:val="20"/>
          <w:szCs w:val="20"/>
          <w:lang w:val="en-US"/>
        </w:rPr>
        <w:t>Hirota S, Isozaki K, Moriyama Y, Hashimoto K, Nishida T, Ishiguro S, et al. Gain-of-function mutations of c-kit in human gastrointestinal stromal tumors. </w:t>
      </w:r>
      <w:r w:rsidRPr="00E81FBD">
        <w:rPr>
          <w:rFonts w:ascii="Arial" w:hAnsi="Arial" w:cs="Arial"/>
          <w:i/>
          <w:iCs/>
          <w:sz w:val="20"/>
          <w:szCs w:val="20"/>
          <w:lang w:val="en-US"/>
        </w:rPr>
        <w:t>Science</w:t>
      </w:r>
      <w:r w:rsidRPr="00E81FBD">
        <w:rPr>
          <w:rFonts w:ascii="Arial" w:hAnsi="Arial" w:cs="Arial"/>
          <w:sz w:val="20"/>
          <w:szCs w:val="20"/>
          <w:lang w:val="en-US"/>
        </w:rPr>
        <w:t>. Jan 23 1998;279(5350):577-80.</w:t>
      </w:r>
      <w:r w:rsidRPr="00B144D7">
        <w:rPr>
          <w:rFonts w:ascii="Arial" w:hAnsi="Arial" w:cs="Arial"/>
          <w:sz w:val="20"/>
          <w:szCs w:val="20"/>
          <w:lang w:val="en-US"/>
        </w:rPr>
        <w:t xml:space="preserve"> </w:t>
      </w:r>
    </w:p>
    <w:p w:rsidR="00A73EEC" w:rsidRPr="00A73EEC" w:rsidRDefault="00972848" w:rsidP="00A73EEC">
      <w:pPr>
        <w:pStyle w:val="ListParagraph"/>
        <w:numPr>
          <w:ilvl w:val="0"/>
          <w:numId w:val="1"/>
        </w:numPr>
        <w:spacing w:line="240" w:lineRule="auto"/>
        <w:jc w:val="both"/>
        <w:rPr>
          <w:rFonts w:ascii="Arial" w:hAnsi="Arial" w:cs="Arial"/>
          <w:sz w:val="20"/>
          <w:szCs w:val="20"/>
          <w:lang w:val="en-US"/>
        </w:rPr>
      </w:pPr>
      <w:r w:rsidRPr="00972848">
        <w:rPr>
          <w:rFonts w:ascii="Arial" w:hAnsi="Arial" w:cs="Arial"/>
          <w:sz w:val="20"/>
          <w:szCs w:val="20"/>
          <w:lang w:val="en-US"/>
        </w:rPr>
        <w:t>Ghanem N, Altehoefer C, Furtwangler A, Winterer J, Schafer O, Springer O, et al. Computed tomography in gastrointestinal stromal tumors. </w:t>
      </w:r>
      <w:r w:rsidRPr="00972848">
        <w:rPr>
          <w:rFonts w:ascii="Arial" w:hAnsi="Arial" w:cs="Arial"/>
          <w:i/>
          <w:iCs/>
          <w:sz w:val="20"/>
          <w:szCs w:val="20"/>
          <w:lang w:val="en-US"/>
        </w:rPr>
        <w:t>Eur Radiol</w:t>
      </w:r>
      <w:r>
        <w:rPr>
          <w:rFonts w:ascii="Arial" w:hAnsi="Arial" w:cs="Arial"/>
          <w:sz w:val="20"/>
          <w:szCs w:val="20"/>
          <w:lang w:val="en-US"/>
        </w:rPr>
        <w:t>. </w:t>
      </w:r>
      <w:r w:rsidRPr="00972848">
        <w:rPr>
          <w:rFonts w:ascii="Arial" w:hAnsi="Arial" w:cs="Arial"/>
          <w:sz w:val="20"/>
          <w:szCs w:val="20"/>
          <w:lang w:val="en-US"/>
        </w:rPr>
        <w:t xml:space="preserve">2003;13(7):1669-78. </w:t>
      </w:r>
    </w:p>
    <w:p w:rsidR="00724638" w:rsidRDefault="00A73EEC" w:rsidP="00724638">
      <w:pPr>
        <w:pStyle w:val="ListParagraph"/>
        <w:numPr>
          <w:ilvl w:val="0"/>
          <w:numId w:val="1"/>
        </w:numPr>
        <w:spacing w:line="240" w:lineRule="auto"/>
        <w:jc w:val="both"/>
        <w:rPr>
          <w:rFonts w:ascii="Arial" w:hAnsi="Arial" w:cs="Arial"/>
          <w:sz w:val="20"/>
          <w:szCs w:val="20"/>
          <w:lang w:val="en-US"/>
        </w:rPr>
      </w:pPr>
      <w:r w:rsidRPr="00A73EEC">
        <w:rPr>
          <w:rFonts w:ascii="Arial" w:hAnsi="Arial" w:cs="Arial"/>
          <w:sz w:val="20"/>
          <w:szCs w:val="20"/>
          <w:lang w:val="en-US"/>
        </w:rPr>
        <w:t>Tateishi U, Hasegawa T, Satake M, Moriyama N. Gastrointestinal stromal tumor. Correlation of computed tomography findings with tumor grade and mortality. </w:t>
      </w:r>
      <w:r w:rsidRPr="00A73EEC">
        <w:rPr>
          <w:rFonts w:ascii="Arial" w:hAnsi="Arial" w:cs="Arial"/>
          <w:i/>
          <w:iCs/>
          <w:sz w:val="20"/>
          <w:szCs w:val="20"/>
        </w:rPr>
        <w:t>J Comput Assist Tomogr</w:t>
      </w:r>
      <w:r>
        <w:rPr>
          <w:rFonts w:ascii="Arial" w:hAnsi="Arial" w:cs="Arial"/>
          <w:sz w:val="20"/>
          <w:szCs w:val="20"/>
        </w:rPr>
        <w:t xml:space="preserve">. </w:t>
      </w:r>
      <w:r w:rsidRPr="00A73EEC">
        <w:rPr>
          <w:rFonts w:ascii="Arial" w:hAnsi="Arial" w:cs="Arial"/>
          <w:sz w:val="20"/>
          <w:szCs w:val="20"/>
        </w:rPr>
        <w:t>2003;27(5):792-8. </w:t>
      </w:r>
      <w:r w:rsidRPr="00A73EEC">
        <w:rPr>
          <w:rFonts w:ascii="Arial" w:hAnsi="Arial" w:cs="Arial"/>
          <w:sz w:val="20"/>
          <w:szCs w:val="20"/>
          <w:lang w:val="en-US"/>
        </w:rPr>
        <w:t xml:space="preserve"> </w:t>
      </w:r>
    </w:p>
    <w:p w:rsidR="000D6652" w:rsidRPr="000D6652" w:rsidRDefault="00FC76CD" w:rsidP="000D6652">
      <w:pPr>
        <w:pStyle w:val="ListParagraph"/>
        <w:numPr>
          <w:ilvl w:val="0"/>
          <w:numId w:val="1"/>
        </w:numPr>
        <w:spacing w:line="240" w:lineRule="auto"/>
        <w:jc w:val="both"/>
        <w:rPr>
          <w:rFonts w:ascii="Arial" w:hAnsi="Arial" w:cs="Arial"/>
          <w:sz w:val="20"/>
          <w:szCs w:val="20"/>
          <w:lang w:val="en-US"/>
        </w:rPr>
      </w:pPr>
      <w:r w:rsidRPr="00724638">
        <w:rPr>
          <w:rFonts w:ascii="Arial" w:hAnsi="Arial" w:cs="Arial"/>
          <w:sz w:val="20"/>
          <w:szCs w:val="20"/>
          <w:lang w:val="en-US"/>
        </w:rPr>
        <w:t>Stroobants S, Goeminne J, Seegers M, Dimitrijevic S, Dupont P, Nuyts J, et al. 18FDG-Positron emission tomography for the early prediction of response in advanced soft tissue sarcoma treated with imatinib mesylate (Glivec). </w:t>
      </w:r>
      <w:r w:rsidRPr="00724638">
        <w:rPr>
          <w:rFonts w:ascii="Arial" w:hAnsi="Arial" w:cs="Arial"/>
          <w:i/>
          <w:iCs/>
          <w:sz w:val="20"/>
          <w:szCs w:val="20"/>
          <w:lang w:val="en-US"/>
        </w:rPr>
        <w:t>Eur J Cancer</w:t>
      </w:r>
      <w:r w:rsidR="00724638">
        <w:rPr>
          <w:rFonts w:ascii="Arial" w:hAnsi="Arial" w:cs="Arial"/>
          <w:sz w:val="20"/>
          <w:szCs w:val="20"/>
          <w:lang w:val="en-US"/>
        </w:rPr>
        <w:t xml:space="preserve">. </w:t>
      </w:r>
      <w:r w:rsidRPr="00724638">
        <w:rPr>
          <w:rFonts w:ascii="Arial" w:hAnsi="Arial" w:cs="Arial"/>
          <w:sz w:val="20"/>
          <w:szCs w:val="20"/>
          <w:lang w:val="en-US"/>
        </w:rPr>
        <w:t> 2003;39(14):2012-20.</w:t>
      </w:r>
      <w:r w:rsidR="00724638" w:rsidRPr="00724638">
        <w:rPr>
          <w:rFonts w:ascii="Arial" w:hAnsi="Arial" w:cs="Arial"/>
          <w:sz w:val="20"/>
          <w:szCs w:val="20"/>
          <w:lang w:val="en-US"/>
        </w:rPr>
        <w:t xml:space="preserve"> </w:t>
      </w:r>
    </w:p>
    <w:p w:rsidR="00670A7A" w:rsidRPr="00670A7A" w:rsidRDefault="000D6652" w:rsidP="00670A7A">
      <w:pPr>
        <w:pStyle w:val="ListParagraph"/>
        <w:numPr>
          <w:ilvl w:val="0"/>
          <w:numId w:val="1"/>
        </w:numPr>
        <w:spacing w:line="240" w:lineRule="auto"/>
        <w:jc w:val="both"/>
        <w:rPr>
          <w:rFonts w:ascii="Arial" w:hAnsi="Arial" w:cs="Arial"/>
          <w:sz w:val="20"/>
          <w:szCs w:val="20"/>
          <w:lang w:val="en-US"/>
        </w:rPr>
      </w:pPr>
      <w:r w:rsidRPr="000D6652">
        <w:rPr>
          <w:rFonts w:ascii="Arial" w:hAnsi="Arial" w:cs="Arial"/>
          <w:sz w:val="20"/>
          <w:szCs w:val="20"/>
          <w:lang w:val="en-US"/>
        </w:rPr>
        <w:t>Gordon BM, Herlong J, Uflacker R, Gordon L. Recurrent lower gastrointestinal hemorrhage: ileal neoplasm diagnosed by scintigraphy with Tc 99m red blood cells and angiography. </w:t>
      </w:r>
      <w:r w:rsidRPr="000D6652">
        <w:rPr>
          <w:rFonts w:ascii="Arial" w:hAnsi="Arial" w:cs="Arial"/>
          <w:i/>
          <w:iCs/>
          <w:sz w:val="20"/>
          <w:szCs w:val="20"/>
          <w:lang w:val="en-US"/>
        </w:rPr>
        <w:t>South Med J</w:t>
      </w:r>
      <w:r>
        <w:rPr>
          <w:rFonts w:ascii="Arial" w:hAnsi="Arial" w:cs="Arial"/>
          <w:sz w:val="20"/>
          <w:szCs w:val="20"/>
          <w:lang w:val="en-US"/>
        </w:rPr>
        <w:t>. </w:t>
      </w:r>
      <w:r w:rsidRPr="000D6652">
        <w:rPr>
          <w:rFonts w:ascii="Arial" w:hAnsi="Arial" w:cs="Arial"/>
          <w:sz w:val="20"/>
          <w:szCs w:val="20"/>
          <w:lang w:val="en-US"/>
        </w:rPr>
        <w:t xml:space="preserve">1996;89(12):1204-7. </w:t>
      </w:r>
    </w:p>
    <w:p w:rsidR="00090DF8" w:rsidRPr="00090DF8" w:rsidRDefault="00670A7A" w:rsidP="00090DF8">
      <w:pPr>
        <w:pStyle w:val="ListParagraph"/>
        <w:numPr>
          <w:ilvl w:val="0"/>
          <w:numId w:val="1"/>
        </w:numPr>
        <w:spacing w:line="240" w:lineRule="auto"/>
        <w:jc w:val="both"/>
        <w:rPr>
          <w:rFonts w:ascii="Arial" w:hAnsi="Arial" w:cs="Arial"/>
          <w:sz w:val="20"/>
          <w:szCs w:val="20"/>
          <w:lang w:val="en-US"/>
        </w:rPr>
      </w:pPr>
      <w:r w:rsidRPr="00670A7A">
        <w:rPr>
          <w:rFonts w:ascii="Arial" w:hAnsi="Arial" w:cs="Arial"/>
          <w:sz w:val="20"/>
          <w:szCs w:val="20"/>
          <w:lang w:val="en-US"/>
        </w:rPr>
        <w:t>Au VW, Peh WC. Clinics in diagnostic imaging (16). Lower gastrointestinal bleeding caused by ileal tumour. </w:t>
      </w:r>
      <w:r w:rsidRPr="00670A7A">
        <w:rPr>
          <w:rFonts w:ascii="Arial" w:hAnsi="Arial" w:cs="Arial"/>
          <w:i/>
          <w:iCs/>
          <w:sz w:val="20"/>
          <w:szCs w:val="20"/>
        </w:rPr>
        <w:t>Singapore Med J</w:t>
      </w:r>
      <w:r>
        <w:rPr>
          <w:rFonts w:ascii="Arial" w:hAnsi="Arial" w:cs="Arial"/>
          <w:sz w:val="20"/>
          <w:szCs w:val="20"/>
        </w:rPr>
        <w:t>. </w:t>
      </w:r>
      <w:r w:rsidRPr="00670A7A">
        <w:rPr>
          <w:rFonts w:ascii="Arial" w:hAnsi="Arial" w:cs="Arial"/>
          <w:sz w:val="20"/>
          <w:szCs w:val="20"/>
        </w:rPr>
        <w:t>1996;37(4):434-7.</w:t>
      </w:r>
      <w:r w:rsidRPr="00670A7A">
        <w:rPr>
          <w:rFonts w:ascii="Arial" w:hAnsi="Arial" w:cs="Arial"/>
          <w:sz w:val="20"/>
          <w:szCs w:val="20"/>
          <w:lang w:val="en-US"/>
        </w:rPr>
        <w:t xml:space="preserve"> </w:t>
      </w:r>
    </w:p>
    <w:p w:rsidR="002B4F23" w:rsidRPr="002B4F23" w:rsidRDefault="00090DF8" w:rsidP="002B4F23">
      <w:pPr>
        <w:pStyle w:val="ListParagraph"/>
        <w:numPr>
          <w:ilvl w:val="0"/>
          <w:numId w:val="1"/>
        </w:numPr>
        <w:spacing w:line="240" w:lineRule="auto"/>
        <w:jc w:val="both"/>
        <w:rPr>
          <w:rFonts w:ascii="Arial" w:hAnsi="Arial" w:cs="Arial"/>
          <w:sz w:val="20"/>
          <w:szCs w:val="20"/>
          <w:lang w:val="en-US"/>
        </w:rPr>
      </w:pPr>
      <w:r w:rsidRPr="00090DF8">
        <w:rPr>
          <w:rFonts w:ascii="Arial" w:hAnsi="Arial" w:cs="Arial"/>
          <w:sz w:val="20"/>
          <w:szCs w:val="20"/>
          <w:lang w:val="en-US"/>
        </w:rPr>
        <w:t>Nakagawa M, Akasaka Y, Kanai T, Yamashita T, Kuroda M, Takayama H, et al. Extragastrointestinal stromal tumor of the greater omentum: case report and review of the literature. </w:t>
      </w:r>
      <w:r w:rsidRPr="007062DD">
        <w:rPr>
          <w:rFonts w:ascii="Arial" w:hAnsi="Arial" w:cs="Arial"/>
          <w:i/>
          <w:iCs/>
          <w:sz w:val="20"/>
          <w:szCs w:val="20"/>
          <w:lang w:val="en-US"/>
        </w:rPr>
        <w:t>Hepatogastroenterology</w:t>
      </w:r>
      <w:r w:rsidRPr="007062DD">
        <w:rPr>
          <w:rFonts w:ascii="Arial" w:hAnsi="Arial" w:cs="Arial"/>
          <w:sz w:val="20"/>
          <w:szCs w:val="20"/>
          <w:lang w:val="en-US"/>
        </w:rPr>
        <w:t>.  2003;50(51):691-5.</w:t>
      </w:r>
      <w:r w:rsidRPr="00090DF8">
        <w:rPr>
          <w:rFonts w:ascii="Arial" w:hAnsi="Arial" w:cs="Arial"/>
          <w:sz w:val="20"/>
          <w:szCs w:val="20"/>
          <w:lang w:val="en-US"/>
        </w:rPr>
        <w:t xml:space="preserve"> </w:t>
      </w:r>
    </w:p>
    <w:p w:rsidR="00157860" w:rsidRPr="00157860" w:rsidRDefault="002B4F23" w:rsidP="00157860">
      <w:pPr>
        <w:pStyle w:val="ListParagraph"/>
        <w:numPr>
          <w:ilvl w:val="0"/>
          <w:numId w:val="1"/>
        </w:numPr>
        <w:spacing w:line="240" w:lineRule="auto"/>
        <w:jc w:val="both"/>
        <w:rPr>
          <w:rFonts w:ascii="Arial" w:hAnsi="Arial" w:cs="Arial"/>
          <w:sz w:val="20"/>
          <w:szCs w:val="20"/>
          <w:lang w:val="en-US"/>
        </w:rPr>
      </w:pPr>
      <w:r w:rsidRPr="002B4F23">
        <w:rPr>
          <w:rFonts w:ascii="Arial" w:hAnsi="Arial" w:cs="Arial"/>
          <w:sz w:val="20"/>
          <w:szCs w:val="20"/>
          <w:lang w:val="en-US"/>
        </w:rPr>
        <w:t>Suzuki K, Kaneko G, Kubota K, Horigome N, Hikita H, Senga O, et al. Malignant tumor, of the gastrointestinal stromal tumor type, in the greater omentum. </w:t>
      </w:r>
      <w:r w:rsidRPr="007062DD">
        <w:rPr>
          <w:rFonts w:ascii="Arial" w:hAnsi="Arial" w:cs="Arial"/>
          <w:i/>
          <w:iCs/>
          <w:sz w:val="20"/>
          <w:szCs w:val="20"/>
          <w:lang w:val="en-US"/>
        </w:rPr>
        <w:t>J Gastroenterol</w:t>
      </w:r>
      <w:r w:rsidRPr="007062DD">
        <w:rPr>
          <w:rFonts w:ascii="Arial" w:hAnsi="Arial" w:cs="Arial"/>
          <w:sz w:val="20"/>
          <w:szCs w:val="20"/>
          <w:lang w:val="en-US"/>
        </w:rPr>
        <w:t>. 2003;38(10):985-8.</w:t>
      </w:r>
      <w:r w:rsidRPr="002B4F23">
        <w:rPr>
          <w:rFonts w:ascii="Arial" w:hAnsi="Arial" w:cs="Arial"/>
          <w:sz w:val="20"/>
          <w:szCs w:val="20"/>
          <w:lang w:val="en-US"/>
        </w:rPr>
        <w:t xml:space="preserve"> </w:t>
      </w:r>
    </w:p>
    <w:p w:rsidR="0027582C" w:rsidRPr="0027582C" w:rsidRDefault="00157860" w:rsidP="0027582C">
      <w:pPr>
        <w:pStyle w:val="ListParagraph"/>
        <w:numPr>
          <w:ilvl w:val="0"/>
          <w:numId w:val="1"/>
        </w:numPr>
        <w:spacing w:line="240" w:lineRule="auto"/>
        <w:jc w:val="both"/>
        <w:rPr>
          <w:rFonts w:ascii="Arial" w:hAnsi="Arial" w:cs="Arial"/>
          <w:sz w:val="20"/>
          <w:szCs w:val="20"/>
          <w:lang w:val="en-US"/>
        </w:rPr>
      </w:pPr>
      <w:r w:rsidRPr="00157860">
        <w:rPr>
          <w:rFonts w:ascii="Arial" w:hAnsi="Arial" w:cs="Arial"/>
          <w:sz w:val="20"/>
          <w:szCs w:val="20"/>
          <w:lang w:val="en-US"/>
        </w:rPr>
        <w:t>Wu PC, Langerman A, Ryan CW, Hart J, Swiger S, Posner MC. Surgical treatment of gastrointestinal stromal tumors in the imatinib (STI-571) era. </w:t>
      </w:r>
      <w:r w:rsidRPr="00890E65">
        <w:rPr>
          <w:rFonts w:ascii="Arial" w:hAnsi="Arial" w:cs="Arial"/>
          <w:i/>
          <w:iCs/>
          <w:sz w:val="20"/>
          <w:szCs w:val="20"/>
          <w:lang w:val="en-US"/>
        </w:rPr>
        <w:t>Surgery</w:t>
      </w:r>
      <w:r w:rsidR="009C4199" w:rsidRPr="00890E65">
        <w:rPr>
          <w:rFonts w:ascii="Arial" w:hAnsi="Arial" w:cs="Arial"/>
          <w:sz w:val="20"/>
          <w:szCs w:val="20"/>
          <w:lang w:val="en-US"/>
        </w:rPr>
        <w:t>. </w:t>
      </w:r>
      <w:r w:rsidRPr="00890E65">
        <w:rPr>
          <w:rFonts w:ascii="Arial" w:hAnsi="Arial" w:cs="Arial"/>
          <w:sz w:val="20"/>
          <w:szCs w:val="20"/>
          <w:lang w:val="en-US"/>
        </w:rPr>
        <w:t>2003;134(4):656-65; discussion 665-6.</w:t>
      </w:r>
      <w:r w:rsidR="009C4199" w:rsidRPr="00157860">
        <w:rPr>
          <w:rFonts w:ascii="Arial" w:hAnsi="Arial" w:cs="Arial"/>
          <w:sz w:val="20"/>
          <w:szCs w:val="20"/>
          <w:lang w:val="en-US"/>
        </w:rPr>
        <w:t xml:space="preserve"> </w:t>
      </w:r>
    </w:p>
    <w:p w:rsidR="00C300AC" w:rsidRPr="00C300AC" w:rsidRDefault="0027582C" w:rsidP="00C300AC">
      <w:pPr>
        <w:pStyle w:val="ListParagraph"/>
        <w:numPr>
          <w:ilvl w:val="0"/>
          <w:numId w:val="1"/>
        </w:numPr>
        <w:spacing w:line="240" w:lineRule="auto"/>
        <w:jc w:val="both"/>
        <w:rPr>
          <w:rFonts w:ascii="Arial" w:hAnsi="Arial" w:cs="Arial"/>
          <w:sz w:val="20"/>
          <w:szCs w:val="20"/>
          <w:lang w:val="en-US"/>
        </w:rPr>
      </w:pPr>
      <w:r w:rsidRPr="0027582C">
        <w:rPr>
          <w:rFonts w:ascii="Arial" w:hAnsi="Arial" w:cs="Arial"/>
          <w:sz w:val="20"/>
          <w:szCs w:val="20"/>
          <w:lang w:val="en-US"/>
        </w:rPr>
        <w:t>Besana-Ciani I, Boni L, Dionigi G, Benevento A, Dionigi R. Outcome and long term results of surgical resection for gastrointestinal stromal tumors (GIST). </w:t>
      </w:r>
      <w:r w:rsidRPr="0027582C">
        <w:rPr>
          <w:rFonts w:ascii="Arial" w:hAnsi="Arial" w:cs="Arial"/>
          <w:i/>
          <w:iCs/>
          <w:sz w:val="20"/>
          <w:szCs w:val="20"/>
          <w:lang w:val="en-US"/>
        </w:rPr>
        <w:t>Scand J Surg</w:t>
      </w:r>
      <w:r w:rsidRPr="0027582C">
        <w:rPr>
          <w:rFonts w:ascii="Arial" w:hAnsi="Arial" w:cs="Arial"/>
          <w:sz w:val="20"/>
          <w:szCs w:val="20"/>
          <w:lang w:val="en-US"/>
        </w:rPr>
        <w:t xml:space="preserve">. 2003;92(3):195-9. </w:t>
      </w:r>
    </w:p>
    <w:p w:rsidR="00BE2165" w:rsidRPr="00BE2165" w:rsidRDefault="000822B5" w:rsidP="00BE2165">
      <w:pPr>
        <w:pStyle w:val="ListParagraph"/>
        <w:numPr>
          <w:ilvl w:val="0"/>
          <w:numId w:val="1"/>
        </w:numPr>
        <w:spacing w:line="240" w:lineRule="auto"/>
        <w:jc w:val="both"/>
        <w:rPr>
          <w:rFonts w:ascii="Arial" w:hAnsi="Arial" w:cs="Arial"/>
          <w:sz w:val="20"/>
          <w:szCs w:val="20"/>
          <w:lang w:val="en-US"/>
        </w:rPr>
      </w:pPr>
      <w:r w:rsidRPr="00C300AC">
        <w:rPr>
          <w:rFonts w:ascii="Arial" w:hAnsi="Arial" w:cs="Arial"/>
          <w:sz w:val="20"/>
          <w:szCs w:val="20"/>
          <w:lang w:val="en-US"/>
        </w:rPr>
        <w:t xml:space="preserve">Blanke CD, von Mehren M, Joensuu H, et al. ; Presented at: American Society of Clinical Oncology 37th Annual Meeting,. In: </w:t>
      </w:r>
      <w:r w:rsidRPr="00C300AC">
        <w:rPr>
          <w:rFonts w:ascii="Arial" w:hAnsi="Arial" w:cs="Arial"/>
          <w:i/>
          <w:iCs/>
          <w:sz w:val="20"/>
          <w:szCs w:val="20"/>
          <w:lang w:val="en-US"/>
        </w:rPr>
        <w:t xml:space="preserve">Evaluation of the safety and efficacy of an </w:t>
      </w:r>
      <w:r w:rsidRPr="00C300AC">
        <w:rPr>
          <w:rFonts w:ascii="Arial" w:hAnsi="Arial" w:cs="Arial"/>
          <w:i/>
          <w:iCs/>
          <w:sz w:val="20"/>
          <w:szCs w:val="20"/>
          <w:lang w:val="en-US"/>
        </w:rPr>
        <w:lastRenderedPageBreak/>
        <w:t>oral molecularly-targeted therapy, STI571, in patients with unresectable or metastatic gastrointestinal stromal tumors expressing C-KIT</w:t>
      </w:r>
      <w:r w:rsidRPr="00C300AC">
        <w:rPr>
          <w:rFonts w:ascii="Arial" w:hAnsi="Arial" w:cs="Arial"/>
          <w:sz w:val="20"/>
          <w:szCs w:val="20"/>
          <w:lang w:val="en-US"/>
        </w:rPr>
        <w:t>. </w:t>
      </w:r>
      <w:r w:rsidRPr="00C300AC">
        <w:rPr>
          <w:rFonts w:ascii="Arial" w:hAnsi="Arial" w:cs="Arial"/>
          <w:sz w:val="20"/>
          <w:szCs w:val="20"/>
        </w:rPr>
        <w:t>Vol 20. San Francisco, Calif; 2001:abst 2.</w:t>
      </w:r>
    </w:p>
    <w:p w:rsidR="00D65200" w:rsidRPr="00D65200" w:rsidRDefault="00C300AC" w:rsidP="00D65200">
      <w:pPr>
        <w:pStyle w:val="ListParagraph"/>
        <w:numPr>
          <w:ilvl w:val="0"/>
          <w:numId w:val="1"/>
        </w:numPr>
        <w:spacing w:line="240" w:lineRule="auto"/>
        <w:jc w:val="both"/>
        <w:rPr>
          <w:rFonts w:ascii="Arial" w:hAnsi="Arial" w:cs="Arial"/>
          <w:sz w:val="20"/>
          <w:szCs w:val="20"/>
          <w:lang w:val="en-US"/>
        </w:rPr>
      </w:pPr>
      <w:r w:rsidRPr="00BE2165">
        <w:rPr>
          <w:rFonts w:ascii="Arial" w:hAnsi="Arial" w:cs="Arial"/>
          <w:sz w:val="20"/>
          <w:szCs w:val="20"/>
          <w:lang w:val="en-US"/>
        </w:rPr>
        <w:t>van Oosterom AT, Judson IR, Verweij J, Stroobants S, Dumez H, Donato di Paola E, et al. Update of phase I study of imatinib (STI571) in advanced soft tissue sarcomas and gastrointestinal stromal tumors: a report of the EORTC Soft Tissue and Bone Sarcoma Group. </w:t>
      </w:r>
      <w:r w:rsidRPr="00890E65">
        <w:rPr>
          <w:rFonts w:ascii="Arial" w:hAnsi="Arial" w:cs="Arial"/>
          <w:i/>
          <w:iCs/>
          <w:sz w:val="20"/>
          <w:szCs w:val="20"/>
          <w:lang w:val="en-US"/>
        </w:rPr>
        <w:t>Eur J Cancer</w:t>
      </w:r>
      <w:r w:rsidR="00BE2165" w:rsidRPr="00890E65">
        <w:rPr>
          <w:rFonts w:ascii="Arial" w:hAnsi="Arial" w:cs="Arial"/>
          <w:sz w:val="20"/>
          <w:szCs w:val="20"/>
          <w:lang w:val="en-US"/>
        </w:rPr>
        <w:t>. </w:t>
      </w:r>
      <w:r w:rsidRPr="00890E65">
        <w:rPr>
          <w:rFonts w:ascii="Arial" w:hAnsi="Arial" w:cs="Arial"/>
          <w:sz w:val="20"/>
          <w:szCs w:val="20"/>
          <w:lang w:val="en-US"/>
        </w:rPr>
        <w:t>2002;38 Suppl 5:S83-7.</w:t>
      </w:r>
      <w:r w:rsidR="00BE2165" w:rsidRPr="00BE2165">
        <w:rPr>
          <w:rFonts w:ascii="Arial" w:hAnsi="Arial" w:cs="Arial"/>
          <w:sz w:val="20"/>
          <w:szCs w:val="20"/>
          <w:lang w:val="en-US"/>
        </w:rPr>
        <w:t xml:space="preserve"> </w:t>
      </w:r>
    </w:p>
    <w:p w:rsidR="00026115" w:rsidRPr="00026115" w:rsidRDefault="00D65200" w:rsidP="00026115">
      <w:pPr>
        <w:pStyle w:val="ListParagraph"/>
        <w:numPr>
          <w:ilvl w:val="0"/>
          <w:numId w:val="1"/>
        </w:numPr>
        <w:spacing w:line="240" w:lineRule="auto"/>
        <w:jc w:val="both"/>
        <w:rPr>
          <w:rFonts w:ascii="Arial" w:hAnsi="Arial" w:cs="Arial"/>
          <w:sz w:val="20"/>
          <w:szCs w:val="20"/>
          <w:lang w:val="en-US"/>
        </w:rPr>
      </w:pPr>
      <w:r w:rsidRPr="00D65200">
        <w:rPr>
          <w:rFonts w:ascii="Arial" w:hAnsi="Arial" w:cs="Arial"/>
          <w:sz w:val="20"/>
          <w:szCs w:val="20"/>
          <w:lang w:val="en-US"/>
        </w:rPr>
        <w:t>Antman K, Crowley J, Balcerzak SP, Rivkin SE, Weiss GR, Elias A, et al. An intergroup phase III randomized study of doxorubicin and dacarbazine with or without ifosfamide and mesna in advanced soft tissue and bone sarcomas. </w:t>
      </w:r>
      <w:r w:rsidRPr="00D65200">
        <w:rPr>
          <w:rFonts w:ascii="Arial" w:hAnsi="Arial" w:cs="Arial"/>
          <w:i/>
          <w:iCs/>
          <w:sz w:val="20"/>
          <w:szCs w:val="20"/>
        </w:rPr>
        <w:t>J Clin Oncol</w:t>
      </w:r>
      <w:r>
        <w:rPr>
          <w:rFonts w:ascii="Arial" w:hAnsi="Arial" w:cs="Arial"/>
          <w:sz w:val="20"/>
          <w:szCs w:val="20"/>
        </w:rPr>
        <w:t>. </w:t>
      </w:r>
      <w:r w:rsidRPr="00D65200">
        <w:rPr>
          <w:rFonts w:ascii="Arial" w:hAnsi="Arial" w:cs="Arial"/>
          <w:sz w:val="20"/>
          <w:szCs w:val="20"/>
        </w:rPr>
        <w:t>1993;11(7):1276-85.</w:t>
      </w:r>
      <w:r w:rsidRPr="00D65200">
        <w:rPr>
          <w:rFonts w:ascii="Arial" w:hAnsi="Arial" w:cs="Arial"/>
          <w:sz w:val="20"/>
          <w:szCs w:val="20"/>
          <w:lang w:val="en-US"/>
        </w:rPr>
        <w:t xml:space="preserve"> </w:t>
      </w:r>
    </w:p>
    <w:p w:rsidR="00422824" w:rsidRPr="00422824" w:rsidRDefault="00026115" w:rsidP="00422824">
      <w:pPr>
        <w:pStyle w:val="ListParagraph"/>
        <w:numPr>
          <w:ilvl w:val="0"/>
          <w:numId w:val="1"/>
        </w:numPr>
        <w:spacing w:line="240" w:lineRule="auto"/>
        <w:jc w:val="both"/>
        <w:rPr>
          <w:rFonts w:ascii="Arial" w:hAnsi="Arial" w:cs="Arial"/>
          <w:sz w:val="20"/>
          <w:szCs w:val="20"/>
          <w:lang w:val="en-US"/>
        </w:rPr>
      </w:pPr>
      <w:r w:rsidRPr="00026115">
        <w:rPr>
          <w:rFonts w:ascii="Arial" w:hAnsi="Arial" w:cs="Arial"/>
          <w:sz w:val="20"/>
          <w:szCs w:val="20"/>
          <w:lang w:val="en-US"/>
        </w:rPr>
        <w:t>Elias A, Ryan L, Sulkes A, Collins J, Aisner J, Antman KH. Response to mesna, doxorubicin, ifosfamide, and dacarbazine in 108 patients with metastatic or unresectable sarcoma and no prior chemotherapy. </w:t>
      </w:r>
      <w:r w:rsidRPr="00026115">
        <w:rPr>
          <w:rFonts w:ascii="Arial" w:hAnsi="Arial" w:cs="Arial"/>
          <w:i/>
          <w:iCs/>
          <w:sz w:val="20"/>
          <w:szCs w:val="20"/>
        </w:rPr>
        <w:t>J Clin Oncol</w:t>
      </w:r>
      <w:r>
        <w:rPr>
          <w:rFonts w:ascii="Arial" w:hAnsi="Arial" w:cs="Arial"/>
          <w:sz w:val="20"/>
          <w:szCs w:val="20"/>
        </w:rPr>
        <w:t>. </w:t>
      </w:r>
      <w:r w:rsidRPr="00026115">
        <w:rPr>
          <w:rFonts w:ascii="Arial" w:hAnsi="Arial" w:cs="Arial"/>
          <w:sz w:val="20"/>
          <w:szCs w:val="20"/>
        </w:rPr>
        <w:t>1989;7(9):1208-16.</w:t>
      </w:r>
      <w:r w:rsidRPr="00026115">
        <w:rPr>
          <w:rFonts w:ascii="Arial" w:hAnsi="Arial" w:cs="Arial"/>
          <w:sz w:val="20"/>
          <w:szCs w:val="20"/>
          <w:lang w:val="en-US"/>
        </w:rPr>
        <w:t xml:space="preserve"> </w:t>
      </w:r>
    </w:p>
    <w:p w:rsidR="00D357FE" w:rsidRPr="00D357FE" w:rsidRDefault="00422824" w:rsidP="00D357FE">
      <w:pPr>
        <w:pStyle w:val="ListParagraph"/>
        <w:numPr>
          <w:ilvl w:val="0"/>
          <w:numId w:val="1"/>
        </w:numPr>
        <w:spacing w:line="240" w:lineRule="auto"/>
        <w:jc w:val="both"/>
        <w:rPr>
          <w:rFonts w:ascii="Arial" w:hAnsi="Arial" w:cs="Arial"/>
          <w:sz w:val="20"/>
          <w:szCs w:val="20"/>
          <w:lang w:val="en-US"/>
        </w:rPr>
      </w:pPr>
      <w:r w:rsidRPr="00422824">
        <w:rPr>
          <w:rFonts w:ascii="Arial" w:hAnsi="Arial" w:cs="Arial"/>
          <w:sz w:val="20"/>
          <w:szCs w:val="20"/>
          <w:lang w:val="en-US"/>
        </w:rPr>
        <w:t>Berthet B, Sugarbaker TA, Chang D, Sugarbaker PH. Quantitative methodologies for selection of patients with recurrent abdominopelvic sarcoma for treatment. </w:t>
      </w:r>
      <w:r w:rsidRPr="00890E65">
        <w:rPr>
          <w:rFonts w:ascii="Arial" w:hAnsi="Arial" w:cs="Arial"/>
          <w:i/>
          <w:iCs/>
          <w:sz w:val="20"/>
          <w:szCs w:val="20"/>
          <w:lang w:val="en-US"/>
        </w:rPr>
        <w:t>Eur J Cancer</w:t>
      </w:r>
      <w:r w:rsidRPr="00890E65">
        <w:rPr>
          <w:rFonts w:ascii="Arial" w:hAnsi="Arial" w:cs="Arial"/>
          <w:sz w:val="20"/>
          <w:szCs w:val="20"/>
          <w:lang w:val="en-US"/>
        </w:rPr>
        <w:t>. 1999;35(3):413-9.</w:t>
      </w:r>
      <w:r w:rsidRPr="00422824">
        <w:rPr>
          <w:rFonts w:ascii="Arial" w:hAnsi="Arial" w:cs="Arial"/>
          <w:sz w:val="20"/>
          <w:szCs w:val="20"/>
          <w:lang w:val="en-US"/>
        </w:rPr>
        <w:t xml:space="preserve"> </w:t>
      </w:r>
    </w:p>
    <w:p w:rsidR="00E0652D" w:rsidRPr="00E0652D" w:rsidRDefault="00D357FE" w:rsidP="00E0652D">
      <w:pPr>
        <w:pStyle w:val="ListParagraph"/>
        <w:numPr>
          <w:ilvl w:val="0"/>
          <w:numId w:val="1"/>
        </w:numPr>
        <w:spacing w:line="240" w:lineRule="auto"/>
        <w:jc w:val="both"/>
        <w:rPr>
          <w:rFonts w:ascii="Arial" w:hAnsi="Arial" w:cs="Arial"/>
          <w:sz w:val="20"/>
          <w:szCs w:val="20"/>
          <w:lang w:val="en-US"/>
        </w:rPr>
      </w:pPr>
      <w:r w:rsidRPr="00D357FE">
        <w:rPr>
          <w:rFonts w:ascii="Arial" w:hAnsi="Arial" w:cs="Arial"/>
          <w:sz w:val="20"/>
          <w:szCs w:val="20"/>
          <w:lang w:val="en-US"/>
        </w:rPr>
        <w:t>Eilber FC, Rosen G, Forscher C, Nelson SD, Dorey F, Eilber FR. Recurrent gastrointestinal stromal sarcomas. </w:t>
      </w:r>
      <w:r w:rsidRPr="00D357FE">
        <w:rPr>
          <w:rFonts w:ascii="Arial" w:hAnsi="Arial" w:cs="Arial"/>
          <w:i/>
          <w:iCs/>
          <w:sz w:val="20"/>
          <w:szCs w:val="20"/>
          <w:lang w:val="en-US"/>
        </w:rPr>
        <w:t>Surg Oncol</w:t>
      </w:r>
      <w:r w:rsidRPr="00D357FE">
        <w:rPr>
          <w:rFonts w:ascii="Arial" w:hAnsi="Arial" w:cs="Arial"/>
          <w:sz w:val="20"/>
          <w:szCs w:val="20"/>
          <w:lang w:val="en-US"/>
        </w:rPr>
        <w:t>. </w:t>
      </w:r>
      <w:r w:rsidRPr="00890E65">
        <w:rPr>
          <w:rFonts w:ascii="Arial" w:hAnsi="Arial" w:cs="Arial"/>
          <w:sz w:val="20"/>
          <w:szCs w:val="20"/>
          <w:lang w:val="en-US"/>
        </w:rPr>
        <w:t>2000;9(2):71-5.</w:t>
      </w:r>
      <w:r w:rsidRPr="00D357FE">
        <w:rPr>
          <w:rFonts w:ascii="Arial" w:hAnsi="Arial" w:cs="Arial"/>
          <w:sz w:val="20"/>
          <w:szCs w:val="20"/>
          <w:lang w:val="en-US"/>
        </w:rPr>
        <w:t xml:space="preserve"> </w:t>
      </w:r>
    </w:p>
    <w:p w:rsidR="00877B05" w:rsidRPr="00877B05" w:rsidRDefault="00E0652D" w:rsidP="00877B05">
      <w:pPr>
        <w:pStyle w:val="ListParagraph"/>
        <w:numPr>
          <w:ilvl w:val="0"/>
          <w:numId w:val="1"/>
        </w:numPr>
        <w:spacing w:line="240" w:lineRule="auto"/>
        <w:jc w:val="both"/>
        <w:rPr>
          <w:rFonts w:ascii="Arial" w:hAnsi="Arial" w:cs="Arial"/>
          <w:sz w:val="20"/>
          <w:szCs w:val="20"/>
          <w:lang w:val="en-US"/>
        </w:rPr>
      </w:pPr>
      <w:r w:rsidRPr="00E0652D">
        <w:rPr>
          <w:rFonts w:ascii="Arial" w:hAnsi="Arial" w:cs="Arial"/>
          <w:sz w:val="20"/>
          <w:szCs w:val="20"/>
          <w:lang w:val="en-US"/>
        </w:rPr>
        <w:t>Crosby JA, Catton CN, Davis A, Couture J, O'Sullivan B, Kandel R, et al. Malignant gastrointestinal stromal tumors of the small intestine: a review of 50 cases from a prospective database. </w:t>
      </w:r>
      <w:r w:rsidRPr="00890E65">
        <w:rPr>
          <w:rFonts w:ascii="Arial" w:hAnsi="Arial" w:cs="Arial"/>
          <w:i/>
          <w:iCs/>
          <w:sz w:val="20"/>
          <w:szCs w:val="20"/>
          <w:lang w:val="en-US"/>
        </w:rPr>
        <w:t>Ann Surg Oncol</w:t>
      </w:r>
      <w:r w:rsidRPr="00890E65">
        <w:rPr>
          <w:rFonts w:ascii="Arial" w:hAnsi="Arial" w:cs="Arial"/>
          <w:sz w:val="20"/>
          <w:szCs w:val="20"/>
          <w:lang w:val="en-US"/>
        </w:rPr>
        <w:t>. 2001;8(1):50-9.</w:t>
      </w:r>
      <w:r w:rsidRPr="00E0652D">
        <w:rPr>
          <w:rFonts w:ascii="Arial" w:hAnsi="Arial" w:cs="Arial"/>
          <w:sz w:val="20"/>
          <w:szCs w:val="20"/>
          <w:lang w:val="en-US"/>
        </w:rPr>
        <w:t xml:space="preserve"> </w:t>
      </w:r>
    </w:p>
    <w:p w:rsidR="00B70472" w:rsidRPr="00B70472" w:rsidRDefault="00877B05" w:rsidP="00B70472">
      <w:pPr>
        <w:pStyle w:val="ListParagraph"/>
        <w:numPr>
          <w:ilvl w:val="0"/>
          <w:numId w:val="1"/>
        </w:numPr>
        <w:spacing w:line="240" w:lineRule="auto"/>
        <w:jc w:val="both"/>
        <w:rPr>
          <w:rFonts w:ascii="Arial" w:hAnsi="Arial" w:cs="Arial"/>
          <w:sz w:val="20"/>
          <w:szCs w:val="20"/>
          <w:lang w:val="en-US"/>
        </w:rPr>
      </w:pPr>
      <w:r w:rsidRPr="00877B05">
        <w:rPr>
          <w:rFonts w:ascii="Arial" w:hAnsi="Arial" w:cs="Arial"/>
          <w:sz w:val="20"/>
          <w:szCs w:val="20"/>
          <w:lang w:val="en-US"/>
        </w:rPr>
        <w:t>Dematteo RP, Heinrich MC, El-Rifai WM, Demetri G. Clinical management of gastrointestinal stromal tumors: before and after STI-571. </w:t>
      </w:r>
      <w:r w:rsidRPr="00877B05">
        <w:rPr>
          <w:rFonts w:ascii="Arial" w:hAnsi="Arial" w:cs="Arial"/>
          <w:i/>
          <w:iCs/>
          <w:sz w:val="20"/>
          <w:szCs w:val="20"/>
          <w:lang w:val="en-US"/>
        </w:rPr>
        <w:t>Hum Pathol</w:t>
      </w:r>
      <w:r>
        <w:rPr>
          <w:rFonts w:ascii="Arial" w:hAnsi="Arial" w:cs="Arial"/>
          <w:sz w:val="20"/>
          <w:szCs w:val="20"/>
          <w:lang w:val="en-US"/>
        </w:rPr>
        <w:t>. </w:t>
      </w:r>
      <w:r w:rsidRPr="00877B05">
        <w:rPr>
          <w:rFonts w:ascii="Arial" w:hAnsi="Arial" w:cs="Arial"/>
          <w:sz w:val="20"/>
          <w:szCs w:val="20"/>
          <w:lang w:val="en-US"/>
        </w:rPr>
        <w:t xml:space="preserve"> 2002;33(5):466-77. </w:t>
      </w:r>
    </w:p>
    <w:p w:rsidR="00801FD2" w:rsidRPr="00801FD2" w:rsidRDefault="00B70472" w:rsidP="00801FD2">
      <w:pPr>
        <w:pStyle w:val="ListParagraph"/>
        <w:numPr>
          <w:ilvl w:val="0"/>
          <w:numId w:val="1"/>
        </w:numPr>
        <w:spacing w:line="240" w:lineRule="auto"/>
        <w:jc w:val="both"/>
        <w:rPr>
          <w:rFonts w:ascii="Arial" w:hAnsi="Arial" w:cs="Arial"/>
          <w:sz w:val="20"/>
          <w:szCs w:val="20"/>
          <w:lang w:val="en-US"/>
        </w:rPr>
      </w:pPr>
      <w:r w:rsidRPr="00B70472">
        <w:rPr>
          <w:rFonts w:ascii="Arial" w:hAnsi="Arial" w:cs="Arial"/>
          <w:sz w:val="20"/>
          <w:szCs w:val="20"/>
          <w:lang w:val="en-US"/>
        </w:rPr>
        <w:t>Conlon KC, Casper ES, Brennan MF. Primary gastrointestinal sarcomas: analysis of prognostic variables. </w:t>
      </w:r>
      <w:r w:rsidRPr="00B70472">
        <w:rPr>
          <w:rFonts w:ascii="Arial" w:hAnsi="Arial" w:cs="Arial"/>
          <w:i/>
          <w:iCs/>
          <w:sz w:val="20"/>
          <w:szCs w:val="20"/>
        </w:rPr>
        <w:t>Ann Surg Oncol</w:t>
      </w:r>
      <w:r>
        <w:rPr>
          <w:rFonts w:ascii="Arial" w:hAnsi="Arial" w:cs="Arial"/>
          <w:sz w:val="20"/>
          <w:szCs w:val="20"/>
        </w:rPr>
        <w:t>. </w:t>
      </w:r>
      <w:r w:rsidRPr="00B70472">
        <w:rPr>
          <w:rFonts w:ascii="Arial" w:hAnsi="Arial" w:cs="Arial"/>
          <w:sz w:val="20"/>
          <w:szCs w:val="20"/>
        </w:rPr>
        <w:t>1995;2(1):26-31.</w:t>
      </w:r>
      <w:r w:rsidRPr="00B70472">
        <w:rPr>
          <w:rFonts w:ascii="Arial" w:hAnsi="Arial" w:cs="Arial"/>
          <w:sz w:val="20"/>
          <w:szCs w:val="20"/>
          <w:lang w:val="en-US"/>
        </w:rPr>
        <w:t xml:space="preserve"> </w:t>
      </w:r>
    </w:p>
    <w:p w:rsidR="00E66590" w:rsidRPr="00E66590" w:rsidRDefault="00801FD2" w:rsidP="00E66590">
      <w:pPr>
        <w:pStyle w:val="ListParagraph"/>
        <w:numPr>
          <w:ilvl w:val="0"/>
          <w:numId w:val="1"/>
        </w:numPr>
        <w:spacing w:line="240" w:lineRule="auto"/>
        <w:jc w:val="both"/>
        <w:rPr>
          <w:rFonts w:ascii="Arial" w:hAnsi="Arial" w:cs="Arial"/>
          <w:sz w:val="20"/>
          <w:szCs w:val="20"/>
          <w:lang w:val="en-US"/>
        </w:rPr>
      </w:pPr>
      <w:r w:rsidRPr="00801FD2">
        <w:rPr>
          <w:rFonts w:ascii="Arial" w:hAnsi="Arial" w:cs="Arial"/>
          <w:sz w:val="20"/>
          <w:szCs w:val="20"/>
          <w:lang w:val="en-US"/>
        </w:rPr>
        <w:t>Dougherty MJ, Compton C, Talbert M, Wood WC. Sarcomas of the gastrointestinal tract. Separation into favorable and unfavorable prognostic groups by mitotic count. </w:t>
      </w:r>
      <w:r w:rsidRPr="00801FD2">
        <w:rPr>
          <w:rFonts w:ascii="Arial" w:hAnsi="Arial" w:cs="Arial"/>
          <w:i/>
          <w:iCs/>
          <w:sz w:val="20"/>
          <w:szCs w:val="20"/>
        </w:rPr>
        <w:t>Ann Surg</w:t>
      </w:r>
      <w:r>
        <w:rPr>
          <w:rFonts w:ascii="Arial" w:hAnsi="Arial" w:cs="Arial"/>
          <w:sz w:val="20"/>
          <w:szCs w:val="20"/>
        </w:rPr>
        <w:t>. </w:t>
      </w:r>
      <w:r w:rsidRPr="00801FD2">
        <w:rPr>
          <w:rFonts w:ascii="Arial" w:hAnsi="Arial" w:cs="Arial"/>
          <w:sz w:val="20"/>
          <w:szCs w:val="20"/>
        </w:rPr>
        <w:t>1991;214(5):569-74.</w:t>
      </w:r>
      <w:r w:rsidRPr="00801FD2">
        <w:rPr>
          <w:rFonts w:ascii="Arial" w:hAnsi="Arial" w:cs="Arial"/>
          <w:sz w:val="20"/>
          <w:szCs w:val="20"/>
          <w:lang w:val="en-US"/>
        </w:rPr>
        <w:t xml:space="preserve"> </w:t>
      </w:r>
    </w:p>
    <w:p w:rsidR="00E66590" w:rsidRPr="00EC3094" w:rsidRDefault="00E66590" w:rsidP="00E66590">
      <w:pPr>
        <w:pStyle w:val="ListParagraph"/>
        <w:numPr>
          <w:ilvl w:val="0"/>
          <w:numId w:val="1"/>
        </w:numPr>
        <w:spacing w:line="240" w:lineRule="auto"/>
        <w:jc w:val="both"/>
        <w:rPr>
          <w:rFonts w:ascii="Arial" w:hAnsi="Arial" w:cs="Arial"/>
          <w:sz w:val="20"/>
          <w:szCs w:val="20"/>
          <w:lang w:val="en-US"/>
        </w:rPr>
      </w:pPr>
      <w:r w:rsidRPr="00E66590">
        <w:rPr>
          <w:rFonts w:ascii="Arial" w:hAnsi="Arial" w:cs="Arial"/>
          <w:sz w:val="20"/>
          <w:szCs w:val="20"/>
          <w:lang w:val="en-US"/>
        </w:rPr>
        <w:t>Fletcher CD, Berman JJ, Corless C, Gorstein F, Lasota J, Longley BJ, et al. Diagnosis of gastrointestinal stromal tumors: A consensus approach. </w:t>
      </w:r>
      <w:r w:rsidRPr="00E66590">
        <w:rPr>
          <w:rFonts w:ascii="Arial" w:hAnsi="Arial" w:cs="Arial"/>
          <w:i/>
          <w:iCs/>
          <w:sz w:val="20"/>
          <w:szCs w:val="20"/>
          <w:lang w:val="en-US"/>
        </w:rPr>
        <w:t>Hum Pathol</w:t>
      </w:r>
      <w:r>
        <w:rPr>
          <w:rFonts w:ascii="Arial" w:hAnsi="Arial" w:cs="Arial"/>
          <w:sz w:val="20"/>
          <w:szCs w:val="20"/>
          <w:lang w:val="en-US"/>
        </w:rPr>
        <w:t>.</w:t>
      </w:r>
      <w:r w:rsidRPr="00AE406B">
        <w:rPr>
          <w:rFonts w:ascii="Arial" w:hAnsi="Arial" w:cs="Arial"/>
          <w:sz w:val="20"/>
          <w:szCs w:val="20"/>
          <w:lang w:val="en-US"/>
        </w:rPr>
        <w:t xml:space="preserve">  2002;33(5):459-65.</w:t>
      </w:r>
      <w:r w:rsidRPr="00E66590">
        <w:rPr>
          <w:rFonts w:ascii="Arial" w:hAnsi="Arial" w:cs="Arial"/>
          <w:sz w:val="20"/>
          <w:szCs w:val="20"/>
          <w:lang w:val="en-US"/>
        </w:rPr>
        <w:t xml:space="preserve"> </w:t>
      </w:r>
    </w:p>
    <w:p w:rsidR="00EC3094" w:rsidRPr="00DA12EC" w:rsidRDefault="00EC3094" w:rsidP="00E66590">
      <w:pPr>
        <w:pStyle w:val="ListParagraph"/>
        <w:numPr>
          <w:ilvl w:val="0"/>
          <w:numId w:val="1"/>
        </w:numPr>
        <w:spacing w:line="240" w:lineRule="auto"/>
        <w:jc w:val="both"/>
        <w:rPr>
          <w:rFonts w:ascii="Arial" w:hAnsi="Arial" w:cs="Arial"/>
          <w:sz w:val="20"/>
          <w:szCs w:val="20"/>
          <w:lang w:val="en-US"/>
        </w:rPr>
      </w:pPr>
      <w:r>
        <w:rPr>
          <w:rFonts w:ascii="Arial" w:hAnsi="Arial" w:cs="Arial"/>
          <w:sz w:val="20"/>
          <w:szCs w:val="20"/>
          <w:lang w:val="en-US"/>
        </w:rPr>
        <w:t>Reintgen DS, Thompson W, Garbutt J, Seigler HF. Radiologic, endoscopic and surgical consideration of melanoma metastatic to the gastrointestinal tract. Surgery 1984; 95: 635-9</w:t>
      </w:r>
      <w:r w:rsidR="00DA12EC" w:rsidRPr="00B27521">
        <w:rPr>
          <w:rFonts w:ascii="Arial" w:hAnsi="Arial" w:cs="Arial"/>
          <w:sz w:val="20"/>
          <w:szCs w:val="20"/>
          <w:lang w:val="en-US"/>
        </w:rPr>
        <w:t>.</w:t>
      </w:r>
    </w:p>
    <w:p w:rsidR="00DA12EC" w:rsidRPr="00400D9A" w:rsidRDefault="00DA12EC" w:rsidP="00E66590">
      <w:pPr>
        <w:pStyle w:val="ListParagraph"/>
        <w:numPr>
          <w:ilvl w:val="0"/>
          <w:numId w:val="1"/>
        </w:numPr>
        <w:spacing w:line="240" w:lineRule="auto"/>
        <w:jc w:val="both"/>
        <w:rPr>
          <w:rFonts w:ascii="Arial" w:hAnsi="Arial" w:cs="Arial"/>
          <w:sz w:val="20"/>
          <w:szCs w:val="20"/>
          <w:lang w:val="en-US"/>
        </w:rPr>
      </w:pPr>
      <w:r>
        <w:rPr>
          <w:rFonts w:ascii="Arial" w:hAnsi="Arial" w:cs="Arial"/>
          <w:sz w:val="20"/>
          <w:szCs w:val="20"/>
          <w:lang w:val="en-US"/>
        </w:rPr>
        <w:t>Backman H. Metastasis of malignant melanoma in the gastrointestinal tract. Geriatrics 1969; 24: 112-20.</w:t>
      </w:r>
    </w:p>
    <w:p w:rsidR="00400D9A" w:rsidRDefault="00400D9A" w:rsidP="00E66590">
      <w:pPr>
        <w:pStyle w:val="ListParagraph"/>
        <w:numPr>
          <w:ilvl w:val="0"/>
          <w:numId w:val="1"/>
        </w:numPr>
        <w:spacing w:line="240" w:lineRule="auto"/>
        <w:jc w:val="both"/>
        <w:rPr>
          <w:rFonts w:ascii="Arial" w:hAnsi="Arial" w:cs="Arial"/>
          <w:sz w:val="20"/>
          <w:szCs w:val="20"/>
          <w:lang w:val="en-US"/>
        </w:rPr>
      </w:pPr>
      <w:r>
        <w:rPr>
          <w:rFonts w:ascii="Arial" w:hAnsi="Arial" w:cs="Arial"/>
          <w:sz w:val="20"/>
          <w:szCs w:val="20"/>
          <w:lang w:val="en-US"/>
        </w:rPr>
        <w:t>Ihde JK, Coit DG. Melanoma metastatic to stomach, small bowel or colon. Am J Surg 1991; 162: 208-11.</w:t>
      </w:r>
    </w:p>
    <w:p w:rsidR="00424D76" w:rsidRPr="00B26AC6" w:rsidRDefault="00424D76" w:rsidP="00E66590">
      <w:pPr>
        <w:pStyle w:val="ListParagraph"/>
        <w:numPr>
          <w:ilvl w:val="0"/>
          <w:numId w:val="1"/>
        </w:numPr>
        <w:spacing w:line="240" w:lineRule="auto"/>
        <w:jc w:val="both"/>
        <w:rPr>
          <w:rFonts w:ascii="Arial" w:hAnsi="Arial" w:cs="Arial"/>
          <w:sz w:val="20"/>
          <w:szCs w:val="20"/>
          <w:lang w:val="en-US"/>
        </w:rPr>
      </w:pPr>
      <w:r>
        <w:rPr>
          <w:rFonts w:ascii="Arial" w:hAnsi="Arial" w:cs="Arial"/>
          <w:sz w:val="20"/>
          <w:szCs w:val="20"/>
          <w:lang w:val="en-US"/>
        </w:rPr>
        <w:t>Blecker D, Abraham S, Furth EE, Kochman ML. Melanoma in the gastrointestinal tract. Am J Gastroenterol 1999;94: 3427-33.</w:t>
      </w:r>
    </w:p>
    <w:p w:rsidR="00B26AC6" w:rsidRPr="004659F9" w:rsidRDefault="00B26AC6" w:rsidP="00E66590">
      <w:pPr>
        <w:pStyle w:val="ListParagraph"/>
        <w:numPr>
          <w:ilvl w:val="0"/>
          <w:numId w:val="1"/>
        </w:numPr>
        <w:spacing w:line="240" w:lineRule="auto"/>
        <w:jc w:val="both"/>
        <w:rPr>
          <w:rFonts w:ascii="Arial" w:hAnsi="Arial" w:cs="Arial"/>
          <w:sz w:val="20"/>
          <w:szCs w:val="20"/>
          <w:lang w:val="en-US"/>
        </w:rPr>
      </w:pPr>
      <w:r>
        <w:rPr>
          <w:rFonts w:ascii="Arial" w:hAnsi="Arial" w:cs="Arial"/>
          <w:sz w:val="20"/>
          <w:szCs w:val="20"/>
          <w:lang w:val="en-US"/>
        </w:rPr>
        <w:t>Mac Beth WA, Gwynne JF, Jamieson MG. Metastatic melanoma in the small bowel. Aust NZ J Surg 1969; 38: 309-15.</w:t>
      </w:r>
    </w:p>
    <w:p w:rsidR="004659F9" w:rsidRDefault="004659F9" w:rsidP="00E66590">
      <w:pPr>
        <w:pStyle w:val="ListParagraph"/>
        <w:numPr>
          <w:ilvl w:val="0"/>
          <w:numId w:val="1"/>
        </w:numPr>
        <w:spacing w:line="240" w:lineRule="auto"/>
        <w:jc w:val="both"/>
        <w:rPr>
          <w:rFonts w:ascii="Arial" w:hAnsi="Arial" w:cs="Arial"/>
          <w:sz w:val="20"/>
          <w:szCs w:val="20"/>
          <w:lang w:val="en-US"/>
        </w:rPr>
      </w:pPr>
      <w:r>
        <w:rPr>
          <w:rFonts w:ascii="Arial" w:hAnsi="Arial" w:cs="Arial"/>
          <w:sz w:val="20"/>
          <w:szCs w:val="20"/>
          <w:lang w:val="en-US"/>
        </w:rPr>
        <w:t>Wilson BG, Anderson JR. Malignant melanoma involving the small bowel. Postgrad Med J 1986; 62: 355-7.</w:t>
      </w:r>
    </w:p>
    <w:p w:rsidR="004659F9" w:rsidRDefault="004659F9" w:rsidP="00E66590">
      <w:pPr>
        <w:pStyle w:val="ListParagraph"/>
        <w:numPr>
          <w:ilvl w:val="0"/>
          <w:numId w:val="1"/>
        </w:numPr>
        <w:spacing w:line="240" w:lineRule="auto"/>
        <w:jc w:val="both"/>
        <w:rPr>
          <w:rFonts w:ascii="Arial" w:hAnsi="Arial" w:cs="Arial"/>
          <w:sz w:val="20"/>
          <w:szCs w:val="20"/>
          <w:lang w:val="en-US"/>
        </w:rPr>
      </w:pPr>
      <w:r>
        <w:rPr>
          <w:rFonts w:ascii="Arial" w:hAnsi="Arial" w:cs="Arial"/>
          <w:sz w:val="20"/>
          <w:szCs w:val="20"/>
          <w:lang w:val="en-US"/>
        </w:rPr>
        <w:t>Elsayed AM, Motaz A, Ugochukwu CN, Sobin LH. Malignant melanomas in the small intestine: a study of 103 patients. Am J Gastroenterol</w:t>
      </w:r>
      <w:r w:rsidR="00A22A00">
        <w:rPr>
          <w:rFonts w:ascii="Arial" w:hAnsi="Arial" w:cs="Arial"/>
          <w:sz w:val="20"/>
          <w:szCs w:val="20"/>
          <w:lang w:val="en-US"/>
        </w:rPr>
        <w:t xml:space="preserve"> 1996; 91: 1001-6.</w:t>
      </w:r>
    </w:p>
    <w:p w:rsidR="00B96E38" w:rsidRPr="0033530F" w:rsidRDefault="00B96E38" w:rsidP="00E66590">
      <w:pPr>
        <w:pStyle w:val="ListParagraph"/>
        <w:numPr>
          <w:ilvl w:val="0"/>
          <w:numId w:val="1"/>
        </w:numPr>
        <w:spacing w:line="240" w:lineRule="auto"/>
        <w:jc w:val="both"/>
        <w:rPr>
          <w:rFonts w:ascii="Arial" w:hAnsi="Arial" w:cs="Arial"/>
          <w:sz w:val="20"/>
          <w:szCs w:val="20"/>
          <w:lang w:val="en-US"/>
        </w:rPr>
      </w:pPr>
      <w:r>
        <w:rPr>
          <w:rFonts w:ascii="Arial" w:hAnsi="Arial" w:cs="Arial"/>
          <w:sz w:val="20"/>
          <w:szCs w:val="20"/>
          <w:lang w:val="en-US"/>
        </w:rPr>
        <w:t>Atmatzidis KS, Pavlidis TE, Papaziogas BT, Papaziogas TB. Primary malignant melanoma of the small intestine: report of a case. Surg Today 2002; 32: 831-3.</w:t>
      </w:r>
    </w:p>
    <w:p w:rsidR="0033530F" w:rsidRDefault="0033530F" w:rsidP="00E66590">
      <w:pPr>
        <w:pStyle w:val="ListParagraph"/>
        <w:numPr>
          <w:ilvl w:val="0"/>
          <w:numId w:val="1"/>
        </w:numPr>
        <w:spacing w:line="240" w:lineRule="auto"/>
        <w:jc w:val="both"/>
        <w:rPr>
          <w:rFonts w:ascii="Arial" w:hAnsi="Arial" w:cs="Arial"/>
          <w:sz w:val="20"/>
          <w:szCs w:val="20"/>
          <w:lang w:val="en-US"/>
        </w:rPr>
      </w:pPr>
      <w:r>
        <w:rPr>
          <w:rFonts w:ascii="Arial" w:hAnsi="Arial" w:cs="Arial"/>
          <w:sz w:val="20"/>
          <w:szCs w:val="20"/>
          <w:lang w:val="en-US"/>
        </w:rPr>
        <w:t>Woodruff JM. Pathology of malignant melanoma, Part I. Clin Bull 1976; 6: 15-23.</w:t>
      </w:r>
    </w:p>
    <w:p w:rsidR="0033530F" w:rsidRDefault="0033530F" w:rsidP="00E66590">
      <w:pPr>
        <w:pStyle w:val="ListParagraph"/>
        <w:numPr>
          <w:ilvl w:val="0"/>
          <w:numId w:val="1"/>
        </w:numPr>
        <w:spacing w:line="240" w:lineRule="auto"/>
        <w:jc w:val="both"/>
        <w:rPr>
          <w:rFonts w:ascii="Arial" w:hAnsi="Arial" w:cs="Arial"/>
          <w:sz w:val="20"/>
          <w:szCs w:val="20"/>
          <w:lang w:val="en-US"/>
        </w:rPr>
      </w:pPr>
      <w:r>
        <w:rPr>
          <w:rFonts w:ascii="Arial" w:hAnsi="Arial" w:cs="Arial"/>
          <w:sz w:val="20"/>
          <w:szCs w:val="20"/>
          <w:lang w:val="en-US"/>
        </w:rPr>
        <w:t xml:space="preserve">Ridolfi RL, Rosen PP, Thaler H. </w:t>
      </w:r>
      <w:r w:rsidR="003161E3">
        <w:rPr>
          <w:rFonts w:ascii="Arial" w:hAnsi="Arial" w:cs="Arial"/>
          <w:sz w:val="20"/>
          <w:szCs w:val="20"/>
          <w:lang w:val="en-US"/>
        </w:rPr>
        <w:t>Nevus cell aggregates associated with lymph nodes. Cancer 1977; 39: 164-71.</w:t>
      </w:r>
    </w:p>
    <w:p w:rsidR="00DF7D42" w:rsidRDefault="00DF7D42" w:rsidP="00E66590">
      <w:pPr>
        <w:pStyle w:val="ListParagraph"/>
        <w:numPr>
          <w:ilvl w:val="0"/>
          <w:numId w:val="1"/>
        </w:numPr>
        <w:spacing w:line="240" w:lineRule="auto"/>
        <w:jc w:val="both"/>
        <w:rPr>
          <w:rFonts w:ascii="Arial" w:hAnsi="Arial" w:cs="Arial"/>
          <w:sz w:val="20"/>
          <w:szCs w:val="20"/>
          <w:lang w:val="en-US"/>
        </w:rPr>
      </w:pPr>
      <w:r>
        <w:rPr>
          <w:rFonts w:ascii="Arial" w:hAnsi="Arial" w:cs="Arial"/>
          <w:sz w:val="20"/>
          <w:szCs w:val="20"/>
          <w:lang w:val="en-US"/>
        </w:rPr>
        <w:t>Krausz MM, Ariel I, Behar AJ. Primary malignant melanoma of the small intestine and the APUD cell concept. J Surg Oncol 1978; 10: 283-8.</w:t>
      </w:r>
    </w:p>
    <w:p w:rsidR="00DF7D42" w:rsidRDefault="00DF7D42" w:rsidP="00E66590">
      <w:pPr>
        <w:pStyle w:val="ListParagraph"/>
        <w:numPr>
          <w:ilvl w:val="0"/>
          <w:numId w:val="1"/>
        </w:numPr>
        <w:spacing w:line="240" w:lineRule="auto"/>
        <w:jc w:val="both"/>
        <w:rPr>
          <w:rFonts w:ascii="Arial" w:hAnsi="Arial" w:cs="Arial"/>
          <w:sz w:val="20"/>
          <w:szCs w:val="20"/>
          <w:lang w:val="en-US"/>
        </w:rPr>
      </w:pPr>
      <w:r>
        <w:rPr>
          <w:rFonts w:ascii="Arial" w:hAnsi="Arial" w:cs="Arial"/>
          <w:sz w:val="20"/>
          <w:szCs w:val="20"/>
          <w:lang w:val="en-US"/>
        </w:rPr>
        <w:t xml:space="preserve">Tabaie HA, Citta RJ, Gallo L, Biondi RJ, Meoli FG, Silverman D. Primary malignant melanoma of the small intestine: report of a case and discussion of the APUD </w:t>
      </w:r>
      <w:r w:rsidR="00CB1E99">
        <w:rPr>
          <w:rFonts w:ascii="Arial" w:hAnsi="Arial" w:cs="Arial"/>
          <w:sz w:val="20"/>
          <w:szCs w:val="20"/>
          <w:lang w:val="en-US"/>
        </w:rPr>
        <w:t>cell concept. J Am Osteopath Assoc 1984; 83: 374-7.</w:t>
      </w:r>
    </w:p>
    <w:p w:rsidR="00D470E3" w:rsidRPr="00C71E16" w:rsidRDefault="00B957D7" w:rsidP="00C71E16">
      <w:pPr>
        <w:pStyle w:val="ListParagraph"/>
        <w:numPr>
          <w:ilvl w:val="0"/>
          <w:numId w:val="1"/>
        </w:numPr>
        <w:spacing w:line="240" w:lineRule="auto"/>
        <w:jc w:val="both"/>
        <w:rPr>
          <w:rFonts w:ascii="Arial" w:hAnsi="Arial" w:cs="Arial"/>
          <w:sz w:val="20"/>
          <w:szCs w:val="20"/>
          <w:lang w:val="en-US"/>
        </w:rPr>
      </w:pPr>
      <w:r>
        <w:rPr>
          <w:rFonts w:ascii="Arial" w:hAnsi="Arial" w:cs="Arial"/>
          <w:sz w:val="20"/>
          <w:szCs w:val="20"/>
          <w:lang w:val="en-US"/>
        </w:rPr>
        <w:t>Kruger S, Noack F, Blochle C, Feller A. Primary malignant melanoma of the small bowel. A case report and review of the literature. Tumori 2005; 91: 73-6.</w:t>
      </w:r>
    </w:p>
    <w:sectPr w:rsidR="00D470E3" w:rsidRPr="00C71E16" w:rsidSect="00E36DE4">
      <w:head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614D" w:rsidRDefault="0086614D" w:rsidP="00E943CE">
      <w:pPr>
        <w:spacing w:after="0" w:line="240" w:lineRule="auto"/>
      </w:pPr>
      <w:r>
        <w:separator/>
      </w:r>
    </w:p>
  </w:endnote>
  <w:endnote w:type="continuationSeparator" w:id="0">
    <w:p w:rsidR="0086614D" w:rsidRDefault="0086614D" w:rsidP="00E943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E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614D" w:rsidRDefault="0086614D" w:rsidP="00E943CE">
      <w:pPr>
        <w:spacing w:after="0" w:line="240" w:lineRule="auto"/>
      </w:pPr>
      <w:r>
        <w:separator/>
      </w:r>
    </w:p>
  </w:footnote>
  <w:footnote w:type="continuationSeparator" w:id="0">
    <w:p w:rsidR="0086614D" w:rsidRDefault="0086614D" w:rsidP="00E943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97995"/>
      <w:docPartObj>
        <w:docPartGallery w:val="Page Numbers (Top of Page)"/>
        <w:docPartUnique/>
      </w:docPartObj>
    </w:sdtPr>
    <w:sdtContent>
      <w:p w:rsidR="002433A7" w:rsidRDefault="009E7819">
        <w:pPr>
          <w:pStyle w:val="Header"/>
          <w:ind w:right="-864"/>
          <w:jc w:val="right"/>
        </w:pPr>
        <w:r>
          <w:pict>
            <v:group id="_x0000_s15362" style="width:43.2pt;height:18.7pt;mso-position-horizontal-relative:char;mso-position-vertical-relative:line" coordorigin="614,660" coordsize="864,374" o:allowincell="f">
              <v:roundrect id="_x0000_s15363" style="position:absolute;left:859;top:415;width:374;height:864;rotation:-90" arcsize="10923f" strokecolor="#c4bc96 [2414]"/>
              <v:roundrect id="_x0000_s15364" style="position:absolute;left:898;top:451;width:296;height:792;rotation:-90" arcsize="10923f" fillcolor="#c4bc96 [2414]" strokecolor="#c4bc96 [2414]"/>
              <v:shapetype id="_x0000_t202" coordsize="21600,21600" o:spt="202" path="m,l,21600r21600,l21600,xe">
                <v:stroke joinstyle="miter"/>
                <v:path gradientshapeok="t" o:connecttype="rect"/>
              </v:shapetype>
              <v:shape id="_x0000_s15365" type="#_x0000_t202" style="position:absolute;left:732;top:716;width:659;height:288" filled="f" stroked="f">
                <v:textbox style="mso-next-textbox:#_x0000_s15365" inset="0,0,0,0">
                  <w:txbxContent>
                    <w:p w:rsidR="002433A7" w:rsidRDefault="009E7819">
                      <w:fldSimple w:instr=" PAGE    \* MERGEFORMAT ">
                        <w:r w:rsidR="00467002" w:rsidRPr="00467002">
                          <w:rPr>
                            <w:b/>
                            <w:noProof/>
                            <w:color w:val="FFFFFF" w:themeColor="background1"/>
                          </w:rPr>
                          <w:t>4</w:t>
                        </w:r>
                      </w:fldSimple>
                    </w:p>
                  </w:txbxContent>
                </v:textbox>
              </v:shape>
              <w10:wrap type="none" anchorx="page" anchory="margin"/>
              <w10:anchorlock/>
            </v:group>
          </w:pict>
        </w:r>
      </w:p>
    </w:sdtContent>
  </w:sdt>
  <w:p w:rsidR="002433A7" w:rsidRDefault="002433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D6A98"/>
    <w:multiLevelType w:val="hybridMultilevel"/>
    <w:tmpl w:val="EAC41E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DB15EF8"/>
    <w:multiLevelType w:val="hybridMultilevel"/>
    <w:tmpl w:val="5484B3AC"/>
    <w:lvl w:ilvl="0" w:tplc="04080001">
      <w:start w:val="1"/>
      <w:numFmt w:val="bullet"/>
      <w:lvlText w:val=""/>
      <w:lvlJc w:val="left"/>
      <w:pPr>
        <w:ind w:left="1584" w:hanging="360"/>
      </w:pPr>
      <w:rPr>
        <w:rFonts w:ascii="Symbol" w:hAnsi="Symbol" w:hint="default"/>
      </w:rPr>
    </w:lvl>
    <w:lvl w:ilvl="1" w:tplc="04080003" w:tentative="1">
      <w:start w:val="1"/>
      <w:numFmt w:val="bullet"/>
      <w:lvlText w:val="o"/>
      <w:lvlJc w:val="left"/>
      <w:pPr>
        <w:ind w:left="2304" w:hanging="360"/>
      </w:pPr>
      <w:rPr>
        <w:rFonts w:ascii="Courier New" w:hAnsi="Courier New" w:cs="Courier New" w:hint="default"/>
      </w:rPr>
    </w:lvl>
    <w:lvl w:ilvl="2" w:tplc="04080005" w:tentative="1">
      <w:start w:val="1"/>
      <w:numFmt w:val="bullet"/>
      <w:lvlText w:val=""/>
      <w:lvlJc w:val="left"/>
      <w:pPr>
        <w:ind w:left="3024" w:hanging="360"/>
      </w:pPr>
      <w:rPr>
        <w:rFonts w:ascii="Wingdings" w:hAnsi="Wingdings" w:hint="default"/>
      </w:rPr>
    </w:lvl>
    <w:lvl w:ilvl="3" w:tplc="04080001" w:tentative="1">
      <w:start w:val="1"/>
      <w:numFmt w:val="bullet"/>
      <w:lvlText w:val=""/>
      <w:lvlJc w:val="left"/>
      <w:pPr>
        <w:ind w:left="3744" w:hanging="360"/>
      </w:pPr>
      <w:rPr>
        <w:rFonts w:ascii="Symbol" w:hAnsi="Symbol" w:hint="default"/>
      </w:rPr>
    </w:lvl>
    <w:lvl w:ilvl="4" w:tplc="04080003" w:tentative="1">
      <w:start w:val="1"/>
      <w:numFmt w:val="bullet"/>
      <w:lvlText w:val="o"/>
      <w:lvlJc w:val="left"/>
      <w:pPr>
        <w:ind w:left="4464" w:hanging="360"/>
      </w:pPr>
      <w:rPr>
        <w:rFonts w:ascii="Courier New" w:hAnsi="Courier New" w:cs="Courier New" w:hint="default"/>
      </w:rPr>
    </w:lvl>
    <w:lvl w:ilvl="5" w:tplc="04080005" w:tentative="1">
      <w:start w:val="1"/>
      <w:numFmt w:val="bullet"/>
      <w:lvlText w:val=""/>
      <w:lvlJc w:val="left"/>
      <w:pPr>
        <w:ind w:left="5184" w:hanging="360"/>
      </w:pPr>
      <w:rPr>
        <w:rFonts w:ascii="Wingdings" w:hAnsi="Wingdings" w:hint="default"/>
      </w:rPr>
    </w:lvl>
    <w:lvl w:ilvl="6" w:tplc="04080001" w:tentative="1">
      <w:start w:val="1"/>
      <w:numFmt w:val="bullet"/>
      <w:lvlText w:val=""/>
      <w:lvlJc w:val="left"/>
      <w:pPr>
        <w:ind w:left="5904" w:hanging="360"/>
      </w:pPr>
      <w:rPr>
        <w:rFonts w:ascii="Symbol" w:hAnsi="Symbol" w:hint="default"/>
      </w:rPr>
    </w:lvl>
    <w:lvl w:ilvl="7" w:tplc="04080003" w:tentative="1">
      <w:start w:val="1"/>
      <w:numFmt w:val="bullet"/>
      <w:lvlText w:val="o"/>
      <w:lvlJc w:val="left"/>
      <w:pPr>
        <w:ind w:left="6624" w:hanging="360"/>
      </w:pPr>
      <w:rPr>
        <w:rFonts w:ascii="Courier New" w:hAnsi="Courier New" w:cs="Courier New" w:hint="default"/>
      </w:rPr>
    </w:lvl>
    <w:lvl w:ilvl="8" w:tplc="04080005" w:tentative="1">
      <w:start w:val="1"/>
      <w:numFmt w:val="bullet"/>
      <w:lvlText w:val=""/>
      <w:lvlJc w:val="left"/>
      <w:pPr>
        <w:ind w:left="7344" w:hanging="360"/>
      </w:pPr>
      <w:rPr>
        <w:rFonts w:ascii="Wingdings" w:hAnsi="Wingdings" w:hint="default"/>
      </w:rPr>
    </w:lvl>
  </w:abstractNum>
  <w:abstractNum w:abstractNumId="2">
    <w:nsid w:val="245E50E8"/>
    <w:multiLevelType w:val="hybridMultilevel"/>
    <w:tmpl w:val="1E16A1DE"/>
    <w:lvl w:ilvl="0" w:tplc="04080001">
      <w:start w:val="1"/>
      <w:numFmt w:val="bullet"/>
      <w:lvlText w:val=""/>
      <w:lvlJc w:val="left"/>
      <w:pPr>
        <w:ind w:left="1448" w:hanging="360"/>
      </w:pPr>
      <w:rPr>
        <w:rFonts w:ascii="Symbol" w:hAnsi="Symbol" w:hint="default"/>
      </w:rPr>
    </w:lvl>
    <w:lvl w:ilvl="1" w:tplc="04080003" w:tentative="1">
      <w:start w:val="1"/>
      <w:numFmt w:val="bullet"/>
      <w:lvlText w:val="o"/>
      <w:lvlJc w:val="left"/>
      <w:pPr>
        <w:ind w:left="2168" w:hanging="360"/>
      </w:pPr>
      <w:rPr>
        <w:rFonts w:ascii="Courier New" w:hAnsi="Courier New" w:cs="Courier New" w:hint="default"/>
      </w:rPr>
    </w:lvl>
    <w:lvl w:ilvl="2" w:tplc="04080005" w:tentative="1">
      <w:start w:val="1"/>
      <w:numFmt w:val="bullet"/>
      <w:lvlText w:val=""/>
      <w:lvlJc w:val="left"/>
      <w:pPr>
        <w:ind w:left="2888" w:hanging="360"/>
      </w:pPr>
      <w:rPr>
        <w:rFonts w:ascii="Wingdings" w:hAnsi="Wingdings" w:hint="default"/>
      </w:rPr>
    </w:lvl>
    <w:lvl w:ilvl="3" w:tplc="04080001" w:tentative="1">
      <w:start w:val="1"/>
      <w:numFmt w:val="bullet"/>
      <w:lvlText w:val=""/>
      <w:lvlJc w:val="left"/>
      <w:pPr>
        <w:ind w:left="3608" w:hanging="360"/>
      </w:pPr>
      <w:rPr>
        <w:rFonts w:ascii="Symbol" w:hAnsi="Symbol" w:hint="default"/>
      </w:rPr>
    </w:lvl>
    <w:lvl w:ilvl="4" w:tplc="04080003" w:tentative="1">
      <w:start w:val="1"/>
      <w:numFmt w:val="bullet"/>
      <w:lvlText w:val="o"/>
      <w:lvlJc w:val="left"/>
      <w:pPr>
        <w:ind w:left="4328" w:hanging="360"/>
      </w:pPr>
      <w:rPr>
        <w:rFonts w:ascii="Courier New" w:hAnsi="Courier New" w:cs="Courier New" w:hint="default"/>
      </w:rPr>
    </w:lvl>
    <w:lvl w:ilvl="5" w:tplc="04080005" w:tentative="1">
      <w:start w:val="1"/>
      <w:numFmt w:val="bullet"/>
      <w:lvlText w:val=""/>
      <w:lvlJc w:val="left"/>
      <w:pPr>
        <w:ind w:left="5048" w:hanging="360"/>
      </w:pPr>
      <w:rPr>
        <w:rFonts w:ascii="Wingdings" w:hAnsi="Wingdings" w:hint="default"/>
      </w:rPr>
    </w:lvl>
    <w:lvl w:ilvl="6" w:tplc="04080001" w:tentative="1">
      <w:start w:val="1"/>
      <w:numFmt w:val="bullet"/>
      <w:lvlText w:val=""/>
      <w:lvlJc w:val="left"/>
      <w:pPr>
        <w:ind w:left="5768" w:hanging="360"/>
      </w:pPr>
      <w:rPr>
        <w:rFonts w:ascii="Symbol" w:hAnsi="Symbol" w:hint="default"/>
      </w:rPr>
    </w:lvl>
    <w:lvl w:ilvl="7" w:tplc="04080003" w:tentative="1">
      <w:start w:val="1"/>
      <w:numFmt w:val="bullet"/>
      <w:lvlText w:val="o"/>
      <w:lvlJc w:val="left"/>
      <w:pPr>
        <w:ind w:left="6488" w:hanging="360"/>
      </w:pPr>
      <w:rPr>
        <w:rFonts w:ascii="Courier New" w:hAnsi="Courier New" w:cs="Courier New" w:hint="default"/>
      </w:rPr>
    </w:lvl>
    <w:lvl w:ilvl="8" w:tplc="04080005" w:tentative="1">
      <w:start w:val="1"/>
      <w:numFmt w:val="bullet"/>
      <w:lvlText w:val=""/>
      <w:lvlJc w:val="left"/>
      <w:pPr>
        <w:ind w:left="7208" w:hanging="360"/>
      </w:pPr>
      <w:rPr>
        <w:rFonts w:ascii="Wingdings" w:hAnsi="Wingdings" w:hint="default"/>
      </w:rPr>
    </w:lvl>
  </w:abstractNum>
  <w:abstractNum w:abstractNumId="3">
    <w:nsid w:val="33C43023"/>
    <w:multiLevelType w:val="hybridMultilevel"/>
    <w:tmpl w:val="76A402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61A48F0"/>
    <w:multiLevelType w:val="hybridMultilevel"/>
    <w:tmpl w:val="E74E5EA2"/>
    <w:lvl w:ilvl="0" w:tplc="04080001">
      <w:start w:val="1"/>
      <w:numFmt w:val="bullet"/>
      <w:lvlText w:val=""/>
      <w:lvlJc w:val="left"/>
      <w:pPr>
        <w:ind w:left="1448" w:hanging="360"/>
      </w:pPr>
      <w:rPr>
        <w:rFonts w:ascii="Symbol" w:hAnsi="Symbol" w:hint="default"/>
      </w:rPr>
    </w:lvl>
    <w:lvl w:ilvl="1" w:tplc="04080003" w:tentative="1">
      <w:start w:val="1"/>
      <w:numFmt w:val="bullet"/>
      <w:lvlText w:val="o"/>
      <w:lvlJc w:val="left"/>
      <w:pPr>
        <w:ind w:left="2168" w:hanging="360"/>
      </w:pPr>
      <w:rPr>
        <w:rFonts w:ascii="Courier New" w:hAnsi="Courier New" w:cs="Courier New" w:hint="default"/>
      </w:rPr>
    </w:lvl>
    <w:lvl w:ilvl="2" w:tplc="04080005" w:tentative="1">
      <w:start w:val="1"/>
      <w:numFmt w:val="bullet"/>
      <w:lvlText w:val=""/>
      <w:lvlJc w:val="left"/>
      <w:pPr>
        <w:ind w:left="2888" w:hanging="360"/>
      </w:pPr>
      <w:rPr>
        <w:rFonts w:ascii="Wingdings" w:hAnsi="Wingdings" w:hint="default"/>
      </w:rPr>
    </w:lvl>
    <w:lvl w:ilvl="3" w:tplc="04080001" w:tentative="1">
      <w:start w:val="1"/>
      <w:numFmt w:val="bullet"/>
      <w:lvlText w:val=""/>
      <w:lvlJc w:val="left"/>
      <w:pPr>
        <w:ind w:left="3608" w:hanging="360"/>
      </w:pPr>
      <w:rPr>
        <w:rFonts w:ascii="Symbol" w:hAnsi="Symbol" w:hint="default"/>
      </w:rPr>
    </w:lvl>
    <w:lvl w:ilvl="4" w:tplc="04080003" w:tentative="1">
      <w:start w:val="1"/>
      <w:numFmt w:val="bullet"/>
      <w:lvlText w:val="o"/>
      <w:lvlJc w:val="left"/>
      <w:pPr>
        <w:ind w:left="4328" w:hanging="360"/>
      </w:pPr>
      <w:rPr>
        <w:rFonts w:ascii="Courier New" w:hAnsi="Courier New" w:cs="Courier New" w:hint="default"/>
      </w:rPr>
    </w:lvl>
    <w:lvl w:ilvl="5" w:tplc="04080005" w:tentative="1">
      <w:start w:val="1"/>
      <w:numFmt w:val="bullet"/>
      <w:lvlText w:val=""/>
      <w:lvlJc w:val="left"/>
      <w:pPr>
        <w:ind w:left="5048" w:hanging="360"/>
      </w:pPr>
      <w:rPr>
        <w:rFonts w:ascii="Wingdings" w:hAnsi="Wingdings" w:hint="default"/>
      </w:rPr>
    </w:lvl>
    <w:lvl w:ilvl="6" w:tplc="04080001" w:tentative="1">
      <w:start w:val="1"/>
      <w:numFmt w:val="bullet"/>
      <w:lvlText w:val=""/>
      <w:lvlJc w:val="left"/>
      <w:pPr>
        <w:ind w:left="5768" w:hanging="360"/>
      </w:pPr>
      <w:rPr>
        <w:rFonts w:ascii="Symbol" w:hAnsi="Symbol" w:hint="default"/>
      </w:rPr>
    </w:lvl>
    <w:lvl w:ilvl="7" w:tplc="04080003" w:tentative="1">
      <w:start w:val="1"/>
      <w:numFmt w:val="bullet"/>
      <w:lvlText w:val="o"/>
      <w:lvlJc w:val="left"/>
      <w:pPr>
        <w:ind w:left="6488" w:hanging="360"/>
      </w:pPr>
      <w:rPr>
        <w:rFonts w:ascii="Courier New" w:hAnsi="Courier New" w:cs="Courier New" w:hint="default"/>
      </w:rPr>
    </w:lvl>
    <w:lvl w:ilvl="8" w:tplc="04080005" w:tentative="1">
      <w:start w:val="1"/>
      <w:numFmt w:val="bullet"/>
      <w:lvlText w:val=""/>
      <w:lvlJc w:val="left"/>
      <w:pPr>
        <w:ind w:left="7208" w:hanging="360"/>
      </w:pPr>
      <w:rPr>
        <w:rFonts w:ascii="Wingdings" w:hAnsi="Wingdings" w:hint="default"/>
      </w:rPr>
    </w:lvl>
  </w:abstractNum>
  <w:abstractNum w:abstractNumId="5">
    <w:nsid w:val="36A0585D"/>
    <w:multiLevelType w:val="hybridMultilevel"/>
    <w:tmpl w:val="A510EA9E"/>
    <w:lvl w:ilvl="0" w:tplc="04080001">
      <w:start w:val="1"/>
      <w:numFmt w:val="bullet"/>
      <w:lvlText w:val=""/>
      <w:lvlJc w:val="left"/>
      <w:pPr>
        <w:ind w:left="1448" w:hanging="360"/>
      </w:pPr>
      <w:rPr>
        <w:rFonts w:ascii="Symbol" w:hAnsi="Symbol" w:hint="default"/>
      </w:rPr>
    </w:lvl>
    <w:lvl w:ilvl="1" w:tplc="04080003">
      <w:start w:val="1"/>
      <w:numFmt w:val="bullet"/>
      <w:lvlText w:val="o"/>
      <w:lvlJc w:val="left"/>
      <w:pPr>
        <w:ind w:left="2168" w:hanging="360"/>
      </w:pPr>
      <w:rPr>
        <w:rFonts w:ascii="Courier New" w:hAnsi="Courier New" w:cs="Courier New" w:hint="default"/>
      </w:rPr>
    </w:lvl>
    <w:lvl w:ilvl="2" w:tplc="04080005" w:tentative="1">
      <w:start w:val="1"/>
      <w:numFmt w:val="bullet"/>
      <w:lvlText w:val=""/>
      <w:lvlJc w:val="left"/>
      <w:pPr>
        <w:ind w:left="2888" w:hanging="360"/>
      </w:pPr>
      <w:rPr>
        <w:rFonts w:ascii="Wingdings" w:hAnsi="Wingdings" w:hint="default"/>
      </w:rPr>
    </w:lvl>
    <w:lvl w:ilvl="3" w:tplc="04080001" w:tentative="1">
      <w:start w:val="1"/>
      <w:numFmt w:val="bullet"/>
      <w:lvlText w:val=""/>
      <w:lvlJc w:val="left"/>
      <w:pPr>
        <w:ind w:left="3608" w:hanging="360"/>
      </w:pPr>
      <w:rPr>
        <w:rFonts w:ascii="Symbol" w:hAnsi="Symbol" w:hint="default"/>
      </w:rPr>
    </w:lvl>
    <w:lvl w:ilvl="4" w:tplc="04080003" w:tentative="1">
      <w:start w:val="1"/>
      <w:numFmt w:val="bullet"/>
      <w:lvlText w:val="o"/>
      <w:lvlJc w:val="left"/>
      <w:pPr>
        <w:ind w:left="4328" w:hanging="360"/>
      </w:pPr>
      <w:rPr>
        <w:rFonts w:ascii="Courier New" w:hAnsi="Courier New" w:cs="Courier New" w:hint="default"/>
      </w:rPr>
    </w:lvl>
    <w:lvl w:ilvl="5" w:tplc="04080005" w:tentative="1">
      <w:start w:val="1"/>
      <w:numFmt w:val="bullet"/>
      <w:lvlText w:val=""/>
      <w:lvlJc w:val="left"/>
      <w:pPr>
        <w:ind w:left="5048" w:hanging="360"/>
      </w:pPr>
      <w:rPr>
        <w:rFonts w:ascii="Wingdings" w:hAnsi="Wingdings" w:hint="default"/>
      </w:rPr>
    </w:lvl>
    <w:lvl w:ilvl="6" w:tplc="04080001" w:tentative="1">
      <w:start w:val="1"/>
      <w:numFmt w:val="bullet"/>
      <w:lvlText w:val=""/>
      <w:lvlJc w:val="left"/>
      <w:pPr>
        <w:ind w:left="5768" w:hanging="360"/>
      </w:pPr>
      <w:rPr>
        <w:rFonts w:ascii="Symbol" w:hAnsi="Symbol" w:hint="default"/>
      </w:rPr>
    </w:lvl>
    <w:lvl w:ilvl="7" w:tplc="04080003" w:tentative="1">
      <w:start w:val="1"/>
      <w:numFmt w:val="bullet"/>
      <w:lvlText w:val="o"/>
      <w:lvlJc w:val="left"/>
      <w:pPr>
        <w:ind w:left="6488" w:hanging="360"/>
      </w:pPr>
      <w:rPr>
        <w:rFonts w:ascii="Courier New" w:hAnsi="Courier New" w:cs="Courier New" w:hint="default"/>
      </w:rPr>
    </w:lvl>
    <w:lvl w:ilvl="8" w:tplc="04080005" w:tentative="1">
      <w:start w:val="1"/>
      <w:numFmt w:val="bullet"/>
      <w:lvlText w:val=""/>
      <w:lvlJc w:val="left"/>
      <w:pPr>
        <w:ind w:left="7208" w:hanging="360"/>
      </w:pPr>
      <w:rPr>
        <w:rFonts w:ascii="Wingdings" w:hAnsi="Wingdings" w:hint="default"/>
      </w:rPr>
    </w:lvl>
  </w:abstractNum>
  <w:abstractNum w:abstractNumId="6">
    <w:nsid w:val="41B4473E"/>
    <w:multiLevelType w:val="hybridMultilevel"/>
    <w:tmpl w:val="94142E18"/>
    <w:lvl w:ilvl="0" w:tplc="04080001">
      <w:start w:val="1"/>
      <w:numFmt w:val="bullet"/>
      <w:lvlText w:val=""/>
      <w:lvlJc w:val="left"/>
      <w:pPr>
        <w:ind w:left="1448" w:hanging="360"/>
      </w:pPr>
      <w:rPr>
        <w:rFonts w:ascii="Symbol" w:hAnsi="Symbol" w:hint="default"/>
      </w:rPr>
    </w:lvl>
    <w:lvl w:ilvl="1" w:tplc="04080003" w:tentative="1">
      <w:start w:val="1"/>
      <w:numFmt w:val="bullet"/>
      <w:lvlText w:val="o"/>
      <w:lvlJc w:val="left"/>
      <w:pPr>
        <w:ind w:left="2168" w:hanging="360"/>
      </w:pPr>
      <w:rPr>
        <w:rFonts w:ascii="Courier New" w:hAnsi="Courier New" w:cs="Courier New" w:hint="default"/>
      </w:rPr>
    </w:lvl>
    <w:lvl w:ilvl="2" w:tplc="04080005" w:tentative="1">
      <w:start w:val="1"/>
      <w:numFmt w:val="bullet"/>
      <w:lvlText w:val=""/>
      <w:lvlJc w:val="left"/>
      <w:pPr>
        <w:ind w:left="2888" w:hanging="360"/>
      </w:pPr>
      <w:rPr>
        <w:rFonts w:ascii="Wingdings" w:hAnsi="Wingdings" w:hint="default"/>
      </w:rPr>
    </w:lvl>
    <w:lvl w:ilvl="3" w:tplc="04080001" w:tentative="1">
      <w:start w:val="1"/>
      <w:numFmt w:val="bullet"/>
      <w:lvlText w:val=""/>
      <w:lvlJc w:val="left"/>
      <w:pPr>
        <w:ind w:left="3608" w:hanging="360"/>
      </w:pPr>
      <w:rPr>
        <w:rFonts w:ascii="Symbol" w:hAnsi="Symbol" w:hint="default"/>
      </w:rPr>
    </w:lvl>
    <w:lvl w:ilvl="4" w:tplc="04080003" w:tentative="1">
      <w:start w:val="1"/>
      <w:numFmt w:val="bullet"/>
      <w:lvlText w:val="o"/>
      <w:lvlJc w:val="left"/>
      <w:pPr>
        <w:ind w:left="4328" w:hanging="360"/>
      </w:pPr>
      <w:rPr>
        <w:rFonts w:ascii="Courier New" w:hAnsi="Courier New" w:cs="Courier New" w:hint="default"/>
      </w:rPr>
    </w:lvl>
    <w:lvl w:ilvl="5" w:tplc="04080005" w:tentative="1">
      <w:start w:val="1"/>
      <w:numFmt w:val="bullet"/>
      <w:lvlText w:val=""/>
      <w:lvlJc w:val="left"/>
      <w:pPr>
        <w:ind w:left="5048" w:hanging="360"/>
      </w:pPr>
      <w:rPr>
        <w:rFonts w:ascii="Wingdings" w:hAnsi="Wingdings" w:hint="default"/>
      </w:rPr>
    </w:lvl>
    <w:lvl w:ilvl="6" w:tplc="04080001" w:tentative="1">
      <w:start w:val="1"/>
      <w:numFmt w:val="bullet"/>
      <w:lvlText w:val=""/>
      <w:lvlJc w:val="left"/>
      <w:pPr>
        <w:ind w:left="5768" w:hanging="360"/>
      </w:pPr>
      <w:rPr>
        <w:rFonts w:ascii="Symbol" w:hAnsi="Symbol" w:hint="default"/>
      </w:rPr>
    </w:lvl>
    <w:lvl w:ilvl="7" w:tplc="04080003" w:tentative="1">
      <w:start w:val="1"/>
      <w:numFmt w:val="bullet"/>
      <w:lvlText w:val="o"/>
      <w:lvlJc w:val="left"/>
      <w:pPr>
        <w:ind w:left="6488" w:hanging="360"/>
      </w:pPr>
      <w:rPr>
        <w:rFonts w:ascii="Courier New" w:hAnsi="Courier New" w:cs="Courier New" w:hint="default"/>
      </w:rPr>
    </w:lvl>
    <w:lvl w:ilvl="8" w:tplc="04080005" w:tentative="1">
      <w:start w:val="1"/>
      <w:numFmt w:val="bullet"/>
      <w:lvlText w:val=""/>
      <w:lvlJc w:val="left"/>
      <w:pPr>
        <w:ind w:left="7208" w:hanging="360"/>
      </w:pPr>
      <w:rPr>
        <w:rFonts w:ascii="Wingdings" w:hAnsi="Wingdings" w:hint="default"/>
      </w:rPr>
    </w:lvl>
  </w:abstractNum>
  <w:abstractNum w:abstractNumId="7">
    <w:nsid w:val="4D88226C"/>
    <w:multiLevelType w:val="hybridMultilevel"/>
    <w:tmpl w:val="60E83152"/>
    <w:lvl w:ilvl="0" w:tplc="04080001">
      <w:start w:val="1"/>
      <w:numFmt w:val="bullet"/>
      <w:lvlText w:val=""/>
      <w:lvlJc w:val="left"/>
      <w:pPr>
        <w:ind w:left="1448" w:hanging="360"/>
      </w:pPr>
      <w:rPr>
        <w:rFonts w:ascii="Symbol" w:hAnsi="Symbol" w:hint="default"/>
      </w:rPr>
    </w:lvl>
    <w:lvl w:ilvl="1" w:tplc="04080003" w:tentative="1">
      <w:start w:val="1"/>
      <w:numFmt w:val="bullet"/>
      <w:lvlText w:val="o"/>
      <w:lvlJc w:val="left"/>
      <w:pPr>
        <w:ind w:left="2168" w:hanging="360"/>
      </w:pPr>
      <w:rPr>
        <w:rFonts w:ascii="Courier New" w:hAnsi="Courier New" w:cs="Courier New" w:hint="default"/>
      </w:rPr>
    </w:lvl>
    <w:lvl w:ilvl="2" w:tplc="04080005" w:tentative="1">
      <w:start w:val="1"/>
      <w:numFmt w:val="bullet"/>
      <w:lvlText w:val=""/>
      <w:lvlJc w:val="left"/>
      <w:pPr>
        <w:ind w:left="2888" w:hanging="360"/>
      </w:pPr>
      <w:rPr>
        <w:rFonts w:ascii="Wingdings" w:hAnsi="Wingdings" w:hint="default"/>
      </w:rPr>
    </w:lvl>
    <w:lvl w:ilvl="3" w:tplc="04080001" w:tentative="1">
      <w:start w:val="1"/>
      <w:numFmt w:val="bullet"/>
      <w:lvlText w:val=""/>
      <w:lvlJc w:val="left"/>
      <w:pPr>
        <w:ind w:left="3608" w:hanging="360"/>
      </w:pPr>
      <w:rPr>
        <w:rFonts w:ascii="Symbol" w:hAnsi="Symbol" w:hint="default"/>
      </w:rPr>
    </w:lvl>
    <w:lvl w:ilvl="4" w:tplc="04080003" w:tentative="1">
      <w:start w:val="1"/>
      <w:numFmt w:val="bullet"/>
      <w:lvlText w:val="o"/>
      <w:lvlJc w:val="left"/>
      <w:pPr>
        <w:ind w:left="4328" w:hanging="360"/>
      </w:pPr>
      <w:rPr>
        <w:rFonts w:ascii="Courier New" w:hAnsi="Courier New" w:cs="Courier New" w:hint="default"/>
      </w:rPr>
    </w:lvl>
    <w:lvl w:ilvl="5" w:tplc="04080005" w:tentative="1">
      <w:start w:val="1"/>
      <w:numFmt w:val="bullet"/>
      <w:lvlText w:val=""/>
      <w:lvlJc w:val="left"/>
      <w:pPr>
        <w:ind w:left="5048" w:hanging="360"/>
      </w:pPr>
      <w:rPr>
        <w:rFonts w:ascii="Wingdings" w:hAnsi="Wingdings" w:hint="default"/>
      </w:rPr>
    </w:lvl>
    <w:lvl w:ilvl="6" w:tplc="04080001" w:tentative="1">
      <w:start w:val="1"/>
      <w:numFmt w:val="bullet"/>
      <w:lvlText w:val=""/>
      <w:lvlJc w:val="left"/>
      <w:pPr>
        <w:ind w:left="5768" w:hanging="360"/>
      </w:pPr>
      <w:rPr>
        <w:rFonts w:ascii="Symbol" w:hAnsi="Symbol" w:hint="default"/>
      </w:rPr>
    </w:lvl>
    <w:lvl w:ilvl="7" w:tplc="04080003" w:tentative="1">
      <w:start w:val="1"/>
      <w:numFmt w:val="bullet"/>
      <w:lvlText w:val="o"/>
      <w:lvlJc w:val="left"/>
      <w:pPr>
        <w:ind w:left="6488" w:hanging="360"/>
      </w:pPr>
      <w:rPr>
        <w:rFonts w:ascii="Courier New" w:hAnsi="Courier New" w:cs="Courier New" w:hint="default"/>
      </w:rPr>
    </w:lvl>
    <w:lvl w:ilvl="8" w:tplc="04080005" w:tentative="1">
      <w:start w:val="1"/>
      <w:numFmt w:val="bullet"/>
      <w:lvlText w:val=""/>
      <w:lvlJc w:val="left"/>
      <w:pPr>
        <w:ind w:left="7208" w:hanging="360"/>
      </w:pPr>
      <w:rPr>
        <w:rFonts w:ascii="Wingdings" w:hAnsi="Wingdings" w:hint="default"/>
      </w:rPr>
    </w:lvl>
  </w:abstractNum>
  <w:abstractNum w:abstractNumId="8">
    <w:nsid w:val="50EA566D"/>
    <w:multiLevelType w:val="hybridMultilevel"/>
    <w:tmpl w:val="A56801B8"/>
    <w:lvl w:ilvl="0" w:tplc="04080001">
      <w:start w:val="1"/>
      <w:numFmt w:val="bullet"/>
      <w:lvlText w:val=""/>
      <w:lvlJc w:val="left"/>
      <w:pPr>
        <w:ind w:left="1448" w:hanging="360"/>
      </w:pPr>
      <w:rPr>
        <w:rFonts w:ascii="Symbol" w:hAnsi="Symbol" w:hint="default"/>
      </w:rPr>
    </w:lvl>
    <w:lvl w:ilvl="1" w:tplc="04080003" w:tentative="1">
      <w:start w:val="1"/>
      <w:numFmt w:val="bullet"/>
      <w:lvlText w:val="o"/>
      <w:lvlJc w:val="left"/>
      <w:pPr>
        <w:ind w:left="2168" w:hanging="360"/>
      </w:pPr>
      <w:rPr>
        <w:rFonts w:ascii="Courier New" w:hAnsi="Courier New" w:cs="Courier New" w:hint="default"/>
      </w:rPr>
    </w:lvl>
    <w:lvl w:ilvl="2" w:tplc="04080005" w:tentative="1">
      <w:start w:val="1"/>
      <w:numFmt w:val="bullet"/>
      <w:lvlText w:val=""/>
      <w:lvlJc w:val="left"/>
      <w:pPr>
        <w:ind w:left="2888" w:hanging="360"/>
      </w:pPr>
      <w:rPr>
        <w:rFonts w:ascii="Wingdings" w:hAnsi="Wingdings" w:hint="default"/>
      </w:rPr>
    </w:lvl>
    <w:lvl w:ilvl="3" w:tplc="04080001" w:tentative="1">
      <w:start w:val="1"/>
      <w:numFmt w:val="bullet"/>
      <w:lvlText w:val=""/>
      <w:lvlJc w:val="left"/>
      <w:pPr>
        <w:ind w:left="3608" w:hanging="360"/>
      </w:pPr>
      <w:rPr>
        <w:rFonts w:ascii="Symbol" w:hAnsi="Symbol" w:hint="default"/>
      </w:rPr>
    </w:lvl>
    <w:lvl w:ilvl="4" w:tplc="04080003" w:tentative="1">
      <w:start w:val="1"/>
      <w:numFmt w:val="bullet"/>
      <w:lvlText w:val="o"/>
      <w:lvlJc w:val="left"/>
      <w:pPr>
        <w:ind w:left="4328" w:hanging="360"/>
      </w:pPr>
      <w:rPr>
        <w:rFonts w:ascii="Courier New" w:hAnsi="Courier New" w:cs="Courier New" w:hint="default"/>
      </w:rPr>
    </w:lvl>
    <w:lvl w:ilvl="5" w:tplc="04080005" w:tentative="1">
      <w:start w:val="1"/>
      <w:numFmt w:val="bullet"/>
      <w:lvlText w:val=""/>
      <w:lvlJc w:val="left"/>
      <w:pPr>
        <w:ind w:left="5048" w:hanging="360"/>
      </w:pPr>
      <w:rPr>
        <w:rFonts w:ascii="Wingdings" w:hAnsi="Wingdings" w:hint="default"/>
      </w:rPr>
    </w:lvl>
    <w:lvl w:ilvl="6" w:tplc="04080001" w:tentative="1">
      <w:start w:val="1"/>
      <w:numFmt w:val="bullet"/>
      <w:lvlText w:val=""/>
      <w:lvlJc w:val="left"/>
      <w:pPr>
        <w:ind w:left="5768" w:hanging="360"/>
      </w:pPr>
      <w:rPr>
        <w:rFonts w:ascii="Symbol" w:hAnsi="Symbol" w:hint="default"/>
      </w:rPr>
    </w:lvl>
    <w:lvl w:ilvl="7" w:tplc="04080003" w:tentative="1">
      <w:start w:val="1"/>
      <w:numFmt w:val="bullet"/>
      <w:lvlText w:val="o"/>
      <w:lvlJc w:val="left"/>
      <w:pPr>
        <w:ind w:left="6488" w:hanging="360"/>
      </w:pPr>
      <w:rPr>
        <w:rFonts w:ascii="Courier New" w:hAnsi="Courier New" w:cs="Courier New" w:hint="default"/>
      </w:rPr>
    </w:lvl>
    <w:lvl w:ilvl="8" w:tplc="04080005" w:tentative="1">
      <w:start w:val="1"/>
      <w:numFmt w:val="bullet"/>
      <w:lvlText w:val=""/>
      <w:lvlJc w:val="left"/>
      <w:pPr>
        <w:ind w:left="7208" w:hanging="360"/>
      </w:pPr>
      <w:rPr>
        <w:rFonts w:ascii="Wingdings" w:hAnsi="Wingdings" w:hint="default"/>
      </w:rPr>
    </w:lvl>
  </w:abstractNum>
  <w:abstractNum w:abstractNumId="9">
    <w:nsid w:val="51EA3D60"/>
    <w:multiLevelType w:val="hybridMultilevel"/>
    <w:tmpl w:val="43AC90E4"/>
    <w:lvl w:ilvl="0" w:tplc="04080001">
      <w:start w:val="1"/>
      <w:numFmt w:val="bullet"/>
      <w:lvlText w:val=""/>
      <w:lvlJc w:val="left"/>
      <w:pPr>
        <w:ind w:left="1448" w:hanging="360"/>
      </w:pPr>
      <w:rPr>
        <w:rFonts w:ascii="Symbol" w:hAnsi="Symbol" w:hint="default"/>
      </w:rPr>
    </w:lvl>
    <w:lvl w:ilvl="1" w:tplc="04080003" w:tentative="1">
      <w:start w:val="1"/>
      <w:numFmt w:val="bullet"/>
      <w:lvlText w:val="o"/>
      <w:lvlJc w:val="left"/>
      <w:pPr>
        <w:ind w:left="2168" w:hanging="360"/>
      </w:pPr>
      <w:rPr>
        <w:rFonts w:ascii="Courier New" w:hAnsi="Courier New" w:cs="Courier New" w:hint="default"/>
      </w:rPr>
    </w:lvl>
    <w:lvl w:ilvl="2" w:tplc="04080005" w:tentative="1">
      <w:start w:val="1"/>
      <w:numFmt w:val="bullet"/>
      <w:lvlText w:val=""/>
      <w:lvlJc w:val="left"/>
      <w:pPr>
        <w:ind w:left="2888" w:hanging="360"/>
      </w:pPr>
      <w:rPr>
        <w:rFonts w:ascii="Wingdings" w:hAnsi="Wingdings" w:hint="default"/>
      </w:rPr>
    </w:lvl>
    <w:lvl w:ilvl="3" w:tplc="04080001" w:tentative="1">
      <w:start w:val="1"/>
      <w:numFmt w:val="bullet"/>
      <w:lvlText w:val=""/>
      <w:lvlJc w:val="left"/>
      <w:pPr>
        <w:ind w:left="3608" w:hanging="360"/>
      </w:pPr>
      <w:rPr>
        <w:rFonts w:ascii="Symbol" w:hAnsi="Symbol" w:hint="default"/>
      </w:rPr>
    </w:lvl>
    <w:lvl w:ilvl="4" w:tplc="04080003" w:tentative="1">
      <w:start w:val="1"/>
      <w:numFmt w:val="bullet"/>
      <w:lvlText w:val="o"/>
      <w:lvlJc w:val="left"/>
      <w:pPr>
        <w:ind w:left="4328" w:hanging="360"/>
      </w:pPr>
      <w:rPr>
        <w:rFonts w:ascii="Courier New" w:hAnsi="Courier New" w:cs="Courier New" w:hint="default"/>
      </w:rPr>
    </w:lvl>
    <w:lvl w:ilvl="5" w:tplc="04080005" w:tentative="1">
      <w:start w:val="1"/>
      <w:numFmt w:val="bullet"/>
      <w:lvlText w:val=""/>
      <w:lvlJc w:val="left"/>
      <w:pPr>
        <w:ind w:left="5048" w:hanging="360"/>
      </w:pPr>
      <w:rPr>
        <w:rFonts w:ascii="Wingdings" w:hAnsi="Wingdings" w:hint="default"/>
      </w:rPr>
    </w:lvl>
    <w:lvl w:ilvl="6" w:tplc="04080001" w:tentative="1">
      <w:start w:val="1"/>
      <w:numFmt w:val="bullet"/>
      <w:lvlText w:val=""/>
      <w:lvlJc w:val="left"/>
      <w:pPr>
        <w:ind w:left="5768" w:hanging="360"/>
      </w:pPr>
      <w:rPr>
        <w:rFonts w:ascii="Symbol" w:hAnsi="Symbol" w:hint="default"/>
      </w:rPr>
    </w:lvl>
    <w:lvl w:ilvl="7" w:tplc="04080003" w:tentative="1">
      <w:start w:val="1"/>
      <w:numFmt w:val="bullet"/>
      <w:lvlText w:val="o"/>
      <w:lvlJc w:val="left"/>
      <w:pPr>
        <w:ind w:left="6488" w:hanging="360"/>
      </w:pPr>
      <w:rPr>
        <w:rFonts w:ascii="Courier New" w:hAnsi="Courier New" w:cs="Courier New" w:hint="default"/>
      </w:rPr>
    </w:lvl>
    <w:lvl w:ilvl="8" w:tplc="04080005" w:tentative="1">
      <w:start w:val="1"/>
      <w:numFmt w:val="bullet"/>
      <w:lvlText w:val=""/>
      <w:lvlJc w:val="left"/>
      <w:pPr>
        <w:ind w:left="7208" w:hanging="360"/>
      </w:pPr>
      <w:rPr>
        <w:rFonts w:ascii="Wingdings" w:hAnsi="Wingdings" w:hint="default"/>
      </w:rPr>
    </w:lvl>
  </w:abstractNum>
  <w:abstractNum w:abstractNumId="10">
    <w:nsid w:val="55E44E20"/>
    <w:multiLevelType w:val="hybridMultilevel"/>
    <w:tmpl w:val="B98000C6"/>
    <w:lvl w:ilvl="0" w:tplc="04080001">
      <w:start w:val="1"/>
      <w:numFmt w:val="bullet"/>
      <w:lvlText w:val=""/>
      <w:lvlJc w:val="left"/>
      <w:pPr>
        <w:ind w:left="1516" w:hanging="360"/>
      </w:pPr>
      <w:rPr>
        <w:rFonts w:ascii="Symbol" w:hAnsi="Symbol" w:hint="default"/>
      </w:rPr>
    </w:lvl>
    <w:lvl w:ilvl="1" w:tplc="04080003">
      <w:start w:val="1"/>
      <w:numFmt w:val="bullet"/>
      <w:lvlText w:val="o"/>
      <w:lvlJc w:val="left"/>
      <w:pPr>
        <w:ind w:left="2236" w:hanging="360"/>
      </w:pPr>
      <w:rPr>
        <w:rFonts w:ascii="Courier New" w:hAnsi="Courier New" w:cs="Courier New" w:hint="default"/>
      </w:rPr>
    </w:lvl>
    <w:lvl w:ilvl="2" w:tplc="04080005">
      <w:start w:val="1"/>
      <w:numFmt w:val="bullet"/>
      <w:lvlText w:val=""/>
      <w:lvlJc w:val="left"/>
      <w:pPr>
        <w:ind w:left="2956" w:hanging="360"/>
      </w:pPr>
      <w:rPr>
        <w:rFonts w:ascii="Wingdings" w:hAnsi="Wingdings" w:hint="default"/>
      </w:rPr>
    </w:lvl>
    <w:lvl w:ilvl="3" w:tplc="04080001" w:tentative="1">
      <w:start w:val="1"/>
      <w:numFmt w:val="bullet"/>
      <w:lvlText w:val=""/>
      <w:lvlJc w:val="left"/>
      <w:pPr>
        <w:ind w:left="3676" w:hanging="360"/>
      </w:pPr>
      <w:rPr>
        <w:rFonts w:ascii="Symbol" w:hAnsi="Symbol" w:hint="default"/>
      </w:rPr>
    </w:lvl>
    <w:lvl w:ilvl="4" w:tplc="04080003" w:tentative="1">
      <w:start w:val="1"/>
      <w:numFmt w:val="bullet"/>
      <w:lvlText w:val="o"/>
      <w:lvlJc w:val="left"/>
      <w:pPr>
        <w:ind w:left="4396" w:hanging="360"/>
      </w:pPr>
      <w:rPr>
        <w:rFonts w:ascii="Courier New" w:hAnsi="Courier New" w:cs="Courier New" w:hint="default"/>
      </w:rPr>
    </w:lvl>
    <w:lvl w:ilvl="5" w:tplc="04080005" w:tentative="1">
      <w:start w:val="1"/>
      <w:numFmt w:val="bullet"/>
      <w:lvlText w:val=""/>
      <w:lvlJc w:val="left"/>
      <w:pPr>
        <w:ind w:left="5116" w:hanging="360"/>
      </w:pPr>
      <w:rPr>
        <w:rFonts w:ascii="Wingdings" w:hAnsi="Wingdings" w:hint="default"/>
      </w:rPr>
    </w:lvl>
    <w:lvl w:ilvl="6" w:tplc="04080001" w:tentative="1">
      <w:start w:val="1"/>
      <w:numFmt w:val="bullet"/>
      <w:lvlText w:val=""/>
      <w:lvlJc w:val="left"/>
      <w:pPr>
        <w:ind w:left="5836" w:hanging="360"/>
      </w:pPr>
      <w:rPr>
        <w:rFonts w:ascii="Symbol" w:hAnsi="Symbol" w:hint="default"/>
      </w:rPr>
    </w:lvl>
    <w:lvl w:ilvl="7" w:tplc="04080003" w:tentative="1">
      <w:start w:val="1"/>
      <w:numFmt w:val="bullet"/>
      <w:lvlText w:val="o"/>
      <w:lvlJc w:val="left"/>
      <w:pPr>
        <w:ind w:left="6556" w:hanging="360"/>
      </w:pPr>
      <w:rPr>
        <w:rFonts w:ascii="Courier New" w:hAnsi="Courier New" w:cs="Courier New" w:hint="default"/>
      </w:rPr>
    </w:lvl>
    <w:lvl w:ilvl="8" w:tplc="04080005" w:tentative="1">
      <w:start w:val="1"/>
      <w:numFmt w:val="bullet"/>
      <w:lvlText w:val=""/>
      <w:lvlJc w:val="left"/>
      <w:pPr>
        <w:ind w:left="7276" w:hanging="360"/>
      </w:pPr>
      <w:rPr>
        <w:rFonts w:ascii="Wingdings" w:hAnsi="Wingdings" w:hint="default"/>
      </w:rPr>
    </w:lvl>
  </w:abstractNum>
  <w:abstractNum w:abstractNumId="11">
    <w:nsid w:val="58D10DFC"/>
    <w:multiLevelType w:val="hybridMultilevel"/>
    <w:tmpl w:val="5ED81DB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C2677AF"/>
    <w:multiLevelType w:val="hybridMultilevel"/>
    <w:tmpl w:val="98BAA1C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5D9E3A69"/>
    <w:multiLevelType w:val="hybridMultilevel"/>
    <w:tmpl w:val="AE1A9466"/>
    <w:lvl w:ilvl="0" w:tplc="04080001">
      <w:start w:val="1"/>
      <w:numFmt w:val="bullet"/>
      <w:lvlText w:val=""/>
      <w:lvlJc w:val="left"/>
      <w:pPr>
        <w:ind w:left="1584" w:hanging="360"/>
      </w:pPr>
      <w:rPr>
        <w:rFonts w:ascii="Symbol" w:hAnsi="Symbol" w:hint="default"/>
      </w:rPr>
    </w:lvl>
    <w:lvl w:ilvl="1" w:tplc="04080003" w:tentative="1">
      <w:start w:val="1"/>
      <w:numFmt w:val="bullet"/>
      <w:lvlText w:val="o"/>
      <w:lvlJc w:val="left"/>
      <w:pPr>
        <w:ind w:left="2304" w:hanging="360"/>
      </w:pPr>
      <w:rPr>
        <w:rFonts w:ascii="Courier New" w:hAnsi="Courier New" w:cs="Courier New" w:hint="default"/>
      </w:rPr>
    </w:lvl>
    <w:lvl w:ilvl="2" w:tplc="04080005" w:tentative="1">
      <w:start w:val="1"/>
      <w:numFmt w:val="bullet"/>
      <w:lvlText w:val=""/>
      <w:lvlJc w:val="left"/>
      <w:pPr>
        <w:ind w:left="3024" w:hanging="360"/>
      </w:pPr>
      <w:rPr>
        <w:rFonts w:ascii="Wingdings" w:hAnsi="Wingdings" w:hint="default"/>
      </w:rPr>
    </w:lvl>
    <w:lvl w:ilvl="3" w:tplc="04080001" w:tentative="1">
      <w:start w:val="1"/>
      <w:numFmt w:val="bullet"/>
      <w:lvlText w:val=""/>
      <w:lvlJc w:val="left"/>
      <w:pPr>
        <w:ind w:left="3744" w:hanging="360"/>
      </w:pPr>
      <w:rPr>
        <w:rFonts w:ascii="Symbol" w:hAnsi="Symbol" w:hint="default"/>
      </w:rPr>
    </w:lvl>
    <w:lvl w:ilvl="4" w:tplc="04080003" w:tentative="1">
      <w:start w:val="1"/>
      <w:numFmt w:val="bullet"/>
      <w:lvlText w:val="o"/>
      <w:lvlJc w:val="left"/>
      <w:pPr>
        <w:ind w:left="4464" w:hanging="360"/>
      </w:pPr>
      <w:rPr>
        <w:rFonts w:ascii="Courier New" w:hAnsi="Courier New" w:cs="Courier New" w:hint="default"/>
      </w:rPr>
    </w:lvl>
    <w:lvl w:ilvl="5" w:tplc="04080005" w:tentative="1">
      <w:start w:val="1"/>
      <w:numFmt w:val="bullet"/>
      <w:lvlText w:val=""/>
      <w:lvlJc w:val="left"/>
      <w:pPr>
        <w:ind w:left="5184" w:hanging="360"/>
      </w:pPr>
      <w:rPr>
        <w:rFonts w:ascii="Wingdings" w:hAnsi="Wingdings" w:hint="default"/>
      </w:rPr>
    </w:lvl>
    <w:lvl w:ilvl="6" w:tplc="04080001" w:tentative="1">
      <w:start w:val="1"/>
      <w:numFmt w:val="bullet"/>
      <w:lvlText w:val=""/>
      <w:lvlJc w:val="left"/>
      <w:pPr>
        <w:ind w:left="5904" w:hanging="360"/>
      </w:pPr>
      <w:rPr>
        <w:rFonts w:ascii="Symbol" w:hAnsi="Symbol" w:hint="default"/>
      </w:rPr>
    </w:lvl>
    <w:lvl w:ilvl="7" w:tplc="04080003" w:tentative="1">
      <w:start w:val="1"/>
      <w:numFmt w:val="bullet"/>
      <w:lvlText w:val="o"/>
      <w:lvlJc w:val="left"/>
      <w:pPr>
        <w:ind w:left="6624" w:hanging="360"/>
      </w:pPr>
      <w:rPr>
        <w:rFonts w:ascii="Courier New" w:hAnsi="Courier New" w:cs="Courier New" w:hint="default"/>
      </w:rPr>
    </w:lvl>
    <w:lvl w:ilvl="8" w:tplc="04080005" w:tentative="1">
      <w:start w:val="1"/>
      <w:numFmt w:val="bullet"/>
      <w:lvlText w:val=""/>
      <w:lvlJc w:val="left"/>
      <w:pPr>
        <w:ind w:left="7344" w:hanging="360"/>
      </w:pPr>
      <w:rPr>
        <w:rFonts w:ascii="Wingdings" w:hAnsi="Wingdings" w:hint="default"/>
      </w:rPr>
    </w:lvl>
  </w:abstractNum>
  <w:abstractNum w:abstractNumId="14">
    <w:nsid w:val="5F172E0A"/>
    <w:multiLevelType w:val="hybridMultilevel"/>
    <w:tmpl w:val="BF70BAD8"/>
    <w:lvl w:ilvl="0" w:tplc="04080001">
      <w:start w:val="1"/>
      <w:numFmt w:val="bullet"/>
      <w:lvlText w:val=""/>
      <w:lvlJc w:val="left"/>
      <w:pPr>
        <w:ind w:left="1584" w:hanging="360"/>
      </w:pPr>
      <w:rPr>
        <w:rFonts w:ascii="Symbol" w:hAnsi="Symbol" w:hint="default"/>
      </w:rPr>
    </w:lvl>
    <w:lvl w:ilvl="1" w:tplc="04080003" w:tentative="1">
      <w:start w:val="1"/>
      <w:numFmt w:val="bullet"/>
      <w:lvlText w:val="o"/>
      <w:lvlJc w:val="left"/>
      <w:pPr>
        <w:ind w:left="2304" w:hanging="360"/>
      </w:pPr>
      <w:rPr>
        <w:rFonts w:ascii="Courier New" w:hAnsi="Courier New" w:cs="Courier New" w:hint="default"/>
      </w:rPr>
    </w:lvl>
    <w:lvl w:ilvl="2" w:tplc="04080005" w:tentative="1">
      <w:start w:val="1"/>
      <w:numFmt w:val="bullet"/>
      <w:lvlText w:val=""/>
      <w:lvlJc w:val="left"/>
      <w:pPr>
        <w:ind w:left="3024" w:hanging="360"/>
      </w:pPr>
      <w:rPr>
        <w:rFonts w:ascii="Wingdings" w:hAnsi="Wingdings" w:hint="default"/>
      </w:rPr>
    </w:lvl>
    <w:lvl w:ilvl="3" w:tplc="04080001" w:tentative="1">
      <w:start w:val="1"/>
      <w:numFmt w:val="bullet"/>
      <w:lvlText w:val=""/>
      <w:lvlJc w:val="left"/>
      <w:pPr>
        <w:ind w:left="3744" w:hanging="360"/>
      </w:pPr>
      <w:rPr>
        <w:rFonts w:ascii="Symbol" w:hAnsi="Symbol" w:hint="default"/>
      </w:rPr>
    </w:lvl>
    <w:lvl w:ilvl="4" w:tplc="04080003" w:tentative="1">
      <w:start w:val="1"/>
      <w:numFmt w:val="bullet"/>
      <w:lvlText w:val="o"/>
      <w:lvlJc w:val="left"/>
      <w:pPr>
        <w:ind w:left="4464" w:hanging="360"/>
      </w:pPr>
      <w:rPr>
        <w:rFonts w:ascii="Courier New" w:hAnsi="Courier New" w:cs="Courier New" w:hint="default"/>
      </w:rPr>
    </w:lvl>
    <w:lvl w:ilvl="5" w:tplc="04080005" w:tentative="1">
      <w:start w:val="1"/>
      <w:numFmt w:val="bullet"/>
      <w:lvlText w:val=""/>
      <w:lvlJc w:val="left"/>
      <w:pPr>
        <w:ind w:left="5184" w:hanging="360"/>
      </w:pPr>
      <w:rPr>
        <w:rFonts w:ascii="Wingdings" w:hAnsi="Wingdings" w:hint="default"/>
      </w:rPr>
    </w:lvl>
    <w:lvl w:ilvl="6" w:tplc="04080001" w:tentative="1">
      <w:start w:val="1"/>
      <w:numFmt w:val="bullet"/>
      <w:lvlText w:val=""/>
      <w:lvlJc w:val="left"/>
      <w:pPr>
        <w:ind w:left="5904" w:hanging="360"/>
      </w:pPr>
      <w:rPr>
        <w:rFonts w:ascii="Symbol" w:hAnsi="Symbol" w:hint="default"/>
      </w:rPr>
    </w:lvl>
    <w:lvl w:ilvl="7" w:tplc="04080003" w:tentative="1">
      <w:start w:val="1"/>
      <w:numFmt w:val="bullet"/>
      <w:lvlText w:val="o"/>
      <w:lvlJc w:val="left"/>
      <w:pPr>
        <w:ind w:left="6624" w:hanging="360"/>
      </w:pPr>
      <w:rPr>
        <w:rFonts w:ascii="Courier New" w:hAnsi="Courier New" w:cs="Courier New" w:hint="default"/>
      </w:rPr>
    </w:lvl>
    <w:lvl w:ilvl="8" w:tplc="04080005" w:tentative="1">
      <w:start w:val="1"/>
      <w:numFmt w:val="bullet"/>
      <w:lvlText w:val=""/>
      <w:lvlJc w:val="left"/>
      <w:pPr>
        <w:ind w:left="7344" w:hanging="360"/>
      </w:pPr>
      <w:rPr>
        <w:rFonts w:ascii="Wingdings" w:hAnsi="Wingdings" w:hint="default"/>
      </w:rPr>
    </w:lvl>
  </w:abstractNum>
  <w:abstractNum w:abstractNumId="15">
    <w:nsid w:val="6D9716FA"/>
    <w:multiLevelType w:val="hybridMultilevel"/>
    <w:tmpl w:val="51D27B6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6EA5103E"/>
    <w:multiLevelType w:val="hybridMultilevel"/>
    <w:tmpl w:val="B950AB38"/>
    <w:lvl w:ilvl="0" w:tplc="2E48C7DC">
      <w:start w:val="1"/>
      <w:numFmt w:val="bullet"/>
      <w:lvlText w:val="-"/>
      <w:lvlJc w:val="left"/>
      <w:pPr>
        <w:ind w:left="1080" w:hanging="360"/>
      </w:pPr>
      <w:rPr>
        <w:rFonts w:ascii="Arial" w:eastAsiaTheme="minorHAnsi"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76916A6B"/>
    <w:multiLevelType w:val="hybridMultilevel"/>
    <w:tmpl w:val="9B6E3D7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3"/>
  </w:num>
  <w:num w:numId="2">
    <w:abstractNumId w:val="16"/>
  </w:num>
  <w:num w:numId="3">
    <w:abstractNumId w:val="4"/>
  </w:num>
  <w:num w:numId="4">
    <w:abstractNumId w:val="9"/>
  </w:num>
  <w:num w:numId="5">
    <w:abstractNumId w:val="17"/>
  </w:num>
  <w:num w:numId="6">
    <w:abstractNumId w:val="12"/>
  </w:num>
  <w:num w:numId="7">
    <w:abstractNumId w:val="0"/>
  </w:num>
  <w:num w:numId="8">
    <w:abstractNumId w:val="11"/>
  </w:num>
  <w:num w:numId="9">
    <w:abstractNumId w:val="14"/>
  </w:num>
  <w:num w:numId="10">
    <w:abstractNumId w:val="5"/>
  </w:num>
  <w:num w:numId="11">
    <w:abstractNumId w:val="1"/>
  </w:num>
  <w:num w:numId="12">
    <w:abstractNumId w:val="8"/>
  </w:num>
  <w:num w:numId="13">
    <w:abstractNumId w:val="15"/>
  </w:num>
  <w:num w:numId="14">
    <w:abstractNumId w:val="2"/>
  </w:num>
  <w:num w:numId="15">
    <w:abstractNumId w:val="7"/>
  </w:num>
  <w:num w:numId="16">
    <w:abstractNumId w:val="6"/>
  </w:num>
  <w:num w:numId="17">
    <w:abstractNumId w:val="10"/>
  </w:num>
  <w:num w:numId="18">
    <w:abstractNumId w:val="1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grammar="clean"/>
  <w:defaultTabStop w:val="720"/>
  <w:characterSpacingControl w:val="doNotCompress"/>
  <w:hdrShapeDefaults>
    <o:shapedefaults v:ext="edit" spidmax="15367"/>
    <o:shapelayout v:ext="edit">
      <o:idmap v:ext="edit" data="15"/>
    </o:shapelayout>
  </w:hdrShapeDefaults>
  <w:footnotePr>
    <w:footnote w:id="-1"/>
    <w:footnote w:id="0"/>
  </w:footnotePr>
  <w:endnotePr>
    <w:endnote w:id="-1"/>
    <w:endnote w:id="0"/>
  </w:endnotePr>
  <w:compat/>
  <w:rsids>
    <w:rsidRoot w:val="00D470E3"/>
    <w:rsid w:val="00000CF4"/>
    <w:rsid w:val="000034C0"/>
    <w:rsid w:val="0000770C"/>
    <w:rsid w:val="00011BEE"/>
    <w:rsid w:val="00011E65"/>
    <w:rsid w:val="00026115"/>
    <w:rsid w:val="000544F9"/>
    <w:rsid w:val="00054FE9"/>
    <w:rsid w:val="00056DFD"/>
    <w:rsid w:val="000641E1"/>
    <w:rsid w:val="00070ED1"/>
    <w:rsid w:val="000719FF"/>
    <w:rsid w:val="000741A9"/>
    <w:rsid w:val="000822B5"/>
    <w:rsid w:val="00083867"/>
    <w:rsid w:val="00085C52"/>
    <w:rsid w:val="00090DF8"/>
    <w:rsid w:val="000955CB"/>
    <w:rsid w:val="000957A5"/>
    <w:rsid w:val="000976FB"/>
    <w:rsid w:val="000A0DA0"/>
    <w:rsid w:val="000A1239"/>
    <w:rsid w:val="000A1768"/>
    <w:rsid w:val="000A2869"/>
    <w:rsid w:val="000A3266"/>
    <w:rsid w:val="000A71CF"/>
    <w:rsid w:val="000B05AB"/>
    <w:rsid w:val="000B66D6"/>
    <w:rsid w:val="000B7186"/>
    <w:rsid w:val="000B7DDC"/>
    <w:rsid w:val="000D1015"/>
    <w:rsid w:val="000D18BC"/>
    <w:rsid w:val="000D2747"/>
    <w:rsid w:val="000D6652"/>
    <w:rsid w:val="000F33E8"/>
    <w:rsid w:val="000F77DE"/>
    <w:rsid w:val="00100622"/>
    <w:rsid w:val="001067B9"/>
    <w:rsid w:val="001076FE"/>
    <w:rsid w:val="00114B7D"/>
    <w:rsid w:val="00123D95"/>
    <w:rsid w:val="00126E9A"/>
    <w:rsid w:val="001328C5"/>
    <w:rsid w:val="00142F3A"/>
    <w:rsid w:val="001431DD"/>
    <w:rsid w:val="001452C9"/>
    <w:rsid w:val="00153693"/>
    <w:rsid w:val="00157860"/>
    <w:rsid w:val="00157D12"/>
    <w:rsid w:val="00160E2A"/>
    <w:rsid w:val="00170E26"/>
    <w:rsid w:val="00173006"/>
    <w:rsid w:val="001743C2"/>
    <w:rsid w:val="00181B3D"/>
    <w:rsid w:val="001868E3"/>
    <w:rsid w:val="00187457"/>
    <w:rsid w:val="00190E0A"/>
    <w:rsid w:val="001A1DDD"/>
    <w:rsid w:val="001A3259"/>
    <w:rsid w:val="001B4226"/>
    <w:rsid w:val="001B4F04"/>
    <w:rsid w:val="001B6AA2"/>
    <w:rsid w:val="001C181B"/>
    <w:rsid w:val="001E17B4"/>
    <w:rsid w:val="001E735F"/>
    <w:rsid w:val="001F5644"/>
    <w:rsid w:val="0020084A"/>
    <w:rsid w:val="00203837"/>
    <w:rsid w:val="00205596"/>
    <w:rsid w:val="00212BBA"/>
    <w:rsid w:val="002168E7"/>
    <w:rsid w:val="002221B1"/>
    <w:rsid w:val="00222E2E"/>
    <w:rsid w:val="00234731"/>
    <w:rsid w:val="002433A7"/>
    <w:rsid w:val="00243AEC"/>
    <w:rsid w:val="00245F19"/>
    <w:rsid w:val="00253CE0"/>
    <w:rsid w:val="00255BE1"/>
    <w:rsid w:val="00261DEE"/>
    <w:rsid w:val="0027582C"/>
    <w:rsid w:val="00282816"/>
    <w:rsid w:val="00287BA2"/>
    <w:rsid w:val="00295750"/>
    <w:rsid w:val="0029692C"/>
    <w:rsid w:val="002A6AB4"/>
    <w:rsid w:val="002B0D95"/>
    <w:rsid w:val="002B4426"/>
    <w:rsid w:val="002B44FC"/>
    <w:rsid w:val="002B4F23"/>
    <w:rsid w:val="002B64FB"/>
    <w:rsid w:val="002C190B"/>
    <w:rsid w:val="002C384B"/>
    <w:rsid w:val="002D0FDB"/>
    <w:rsid w:val="002D5C4C"/>
    <w:rsid w:val="002D66C1"/>
    <w:rsid w:val="002D7344"/>
    <w:rsid w:val="002E47BA"/>
    <w:rsid w:val="00312583"/>
    <w:rsid w:val="003161E3"/>
    <w:rsid w:val="00317CAC"/>
    <w:rsid w:val="0033530F"/>
    <w:rsid w:val="003371EA"/>
    <w:rsid w:val="00337555"/>
    <w:rsid w:val="00350D66"/>
    <w:rsid w:val="00364CC1"/>
    <w:rsid w:val="00364E53"/>
    <w:rsid w:val="00365120"/>
    <w:rsid w:val="00373424"/>
    <w:rsid w:val="003809C4"/>
    <w:rsid w:val="00390CD9"/>
    <w:rsid w:val="00396F3F"/>
    <w:rsid w:val="003972D8"/>
    <w:rsid w:val="00397BCE"/>
    <w:rsid w:val="003A3E6F"/>
    <w:rsid w:val="003B0003"/>
    <w:rsid w:val="003B7150"/>
    <w:rsid w:val="003B737C"/>
    <w:rsid w:val="003C2D0F"/>
    <w:rsid w:val="003C4292"/>
    <w:rsid w:val="003C79EB"/>
    <w:rsid w:val="003D2118"/>
    <w:rsid w:val="003D3B55"/>
    <w:rsid w:val="003E0345"/>
    <w:rsid w:val="003E071D"/>
    <w:rsid w:val="003F051B"/>
    <w:rsid w:val="003F3B59"/>
    <w:rsid w:val="003F4B4B"/>
    <w:rsid w:val="00400D9A"/>
    <w:rsid w:val="00414C53"/>
    <w:rsid w:val="00422824"/>
    <w:rsid w:val="00422FDE"/>
    <w:rsid w:val="00424D76"/>
    <w:rsid w:val="00430BA2"/>
    <w:rsid w:val="00442446"/>
    <w:rsid w:val="004449F8"/>
    <w:rsid w:val="00452805"/>
    <w:rsid w:val="004566EE"/>
    <w:rsid w:val="00457106"/>
    <w:rsid w:val="00462029"/>
    <w:rsid w:val="004639B6"/>
    <w:rsid w:val="004659F9"/>
    <w:rsid w:val="00465F6E"/>
    <w:rsid w:val="00467002"/>
    <w:rsid w:val="004708DC"/>
    <w:rsid w:val="00470EF6"/>
    <w:rsid w:val="004712B7"/>
    <w:rsid w:val="004840D0"/>
    <w:rsid w:val="004847FB"/>
    <w:rsid w:val="00486509"/>
    <w:rsid w:val="004924F8"/>
    <w:rsid w:val="004974A7"/>
    <w:rsid w:val="004A0E0F"/>
    <w:rsid w:val="004A7A9E"/>
    <w:rsid w:val="004B1330"/>
    <w:rsid w:val="004B29C2"/>
    <w:rsid w:val="004B6945"/>
    <w:rsid w:val="004C2364"/>
    <w:rsid w:val="004C7C45"/>
    <w:rsid w:val="004D3360"/>
    <w:rsid w:val="004D3EDC"/>
    <w:rsid w:val="004D4C03"/>
    <w:rsid w:val="004F40FA"/>
    <w:rsid w:val="0050457B"/>
    <w:rsid w:val="00511F58"/>
    <w:rsid w:val="00517CD5"/>
    <w:rsid w:val="00520CC3"/>
    <w:rsid w:val="00525747"/>
    <w:rsid w:val="00532D20"/>
    <w:rsid w:val="00536229"/>
    <w:rsid w:val="00553399"/>
    <w:rsid w:val="005606FB"/>
    <w:rsid w:val="00560A5D"/>
    <w:rsid w:val="0056668B"/>
    <w:rsid w:val="00576DEA"/>
    <w:rsid w:val="005770B9"/>
    <w:rsid w:val="005806B5"/>
    <w:rsid w:val="00582C72"/>
    <w:rsid w:val="0058635E"/>
    <w:rsid w:val="00591472"/>
    <w:rsid w:val="00595D3A"/>
    <w:rsid w:val="005B29C9"/>
    <w:rsid w:val="005B3A7B"/>
    <w:rsid w:val="005B4502"/>
    <w:rsid w:val="005B4FE0"/>
    <w:rsid w:val="005B7D2C"/>
    <w:rsid w:val="005C0188"/>
    <w:rsid w:val="005C5050"/>
    <w:rsid w:val="005D00E0"/>
    <w:rsid w:val="005D0143"/>
    <w:rsid w:val="005E27DB"/>
    <w:rsid w:val="006014B5"/>
    <w:rsid w:val="00601E61"/>
    <w:rsid w:val="006067AB"/>
    <w:rsid w:val="006075F3"/>
    <w:rsid w:val="00607957"/>
    <w:rsid w:val="00623C72"/>
    <w:rsid w:val="00632CE8"/>
    <w:rsid w:val="00641060"/>
    <w:rsid w:val="00655BF6"/>
    <w:rsid w:val="0066040A"/>
    <w:rsid w:val="00660B91"/>
    <w:rsid w:val="00661220"/>
    <w:rsid w:val="00667DF4"/>
    <w:rsid w:val="0067069C"/>
    <w:rsid w:val="00670A7A"/>
    <w:rsid w:val="006A014F"/>
    <w:rsid w:val="006A5387"/>
    <w:rsid w:val="006B0D5D"/>
    <w:rsid w:val="006B59E8"/>
    <w:rsid w:val="006B6A5F"/>
    <w:rsid w:val="006C1D2C"/>
    <w:rsid w:val="006C28C1"/>
    <w:rsid w:val="006C4847"/>
    <w:rsid w:val="006D3893"/>
    <w:rsid w:val="006D4BC7"/>
    <w:rsid w:val="006E422D"/>
    <w:rsid w:val="006F3533"/>
    <w:rsid w:val="006F5AC5"/>
    <w:rsid w:val="007062DD"/>
    <w:rsid w:val="00710767"/>
    <w:rsid w:val="00710B24"/>
    <w:rsid w:val="007141F2"/>
    <w:rsid w:val="00715814"/>
    <w:rsid w:val="0071769F"/>
    <w:rsid w:val="00723B73"/>
    <w:rsid w:val="00724638"/>
    <w:rsid w:val="00725477"/>
    <w:rsid w:val="0072581F"/>
    <w:rsid w:val="00731360"/>
    <w:rsid w:val="0073410C"/>
    <w:rsid w:val="00743993"/>
    <w:rsid w:val="00754140"/>
    <w:rsid w:val="00764514"/>
    <w:rsid w:val="007705A4"/>
    <w:rsid w:val="00777256"/>
    <w:rsid w:val="00784A23"/>
    <w:rsid w:val="00791D84"/>
    <w:rsid w:val="00791DBA"/>
    <w:rsid w:val="0079413C"/>
    <w:rsid w:val="00796504"/>
    <w:rsid w:val="007B0D7C"/>
    <w:rsid w:val="007B4E8F"/>
    <w:rsid w:val="007C58C2"/>
    <w:rsid w:val="007E337B"/>
    <w:rsid w:val="007F6D39"/>
    <w:rsid w:val="00801FD2"/>
    <w:rsid w:val="0082289D"/>
    <w:rsid w:val="0082550D"/>
    <w:rsid w:val="008327AD"/>
    <w:rsid w:val="008407FF"/>
    <w:rsid w:val="0084339C"/>
    <w:rsid w:val="0084535B"/>
    <w:rsid w:val="008457CB"/>
    <w:rsid w:val="0084595E"/>
    <w:rsid w:val="00846E03"/>
    <w:rsid w:val="008506F5"/>
    <w:rsid w:val="0085156E"/>
    <w:rsid w:val="00853948"/>
    <w:rsid w:val="00855279"/>
    <w:rsid w:val="00860682"/>
    <w:rsid w:val="008617A7"/>
    <w:rsid w:val="00865F62"/>
    <w:rsid w:val="0086614D"/>
    <w:rsid w:val="00877B05"/>
    <w:rsid w:val="00880739"/>
    <w:rsid w:val="00881086"/>
    <w:rsid w:val="00887EAB"/>
    <w:rsid w:val="00890E65"/>
    <w:rsid w:val="00892C5C"/>
    <w:rsid w:val="00897F14"/>
    <w:rsid w:val="008A1B55"/>
    <w:rsid w:val="008B1E00"/>
    <w:rsid w:val="008C1063"/>
    <w:rsid w:val="008D4F4B"/>
    <w:rsid w:val="008E14B9"/>
    <w:rsid w:val="008E7E2F"/>
    <w:rsid w:val="008F341C"/>
    <w:rsid w:val="008F57CE"/>
    <w:rsid w:val="0090033C"/>
    <w:rsid w:val="0090059C"/>
    <w:rsid w:val="009012A9"/>
    <w:rsid w:val="0090168D"/>
    <w:rsid w:val="00905FD0"/>
    <w:rsid w:val="00907A14"/>
    <w:rsid w:val="00914E74"/>
    <w:rsid w:val="00933B34"/>
    <w:rsid w:val="00936BB1"/>
    <w:rsid w:val="00941CE5"/>
    <w:rsid w:val="00942564"/>
    <w:rsid w:val="00947B9C"/>
    <w:rsid w:val="00953189"/>
    <w:rsid w:val="00953D17"/>
    <w:rsid w:val="0095461B"/>
    <w:rsid w:val="0095477F"/>
    <w:rsid w:val="009558B4"/>
    <w:rsid w:val="0095796D"/>
    <w:rsid w:val="0096198A"/>
    <w:rsid w:val="00966E27"/>
    <w:rsid w:val="00971C23"/>
    <w:rsid w:val="00972848"/>
    <w:rsid w:val="00972E23"/>
    <w:rsid w:val="00973121"/>
    <w:rsid w:val="0097714A"/>
    <w:rsid w:val="0098101A"/>
    <w:rsid w:val="00984D17"/>
    <w:rsid w:val="00990C9F"/>
    <w:rsid w:val="009A609E"/>
    <w:rsid w:val="009A6AD2"/>
    <w:rsid w:val="009B0AAD"/>
    <w:rsid w:val="009B101B"/>
    <w:rsid w:val="009B2588"/>
    <w:rsid w:val="009B3403"/>
    <w:rsid w:val="009C4199"/>
    <w:rsid w:val="009D2639"/>
    <w:rsid w:val="009D30D2"/>
    <w:rsid w:val="009D49ED"/>
    <w:rsid w:val="009E1B1F"/>
    <w:rsid w:val="009E2914"/>
    <w:rsid w:val="009E3CE5"/>
    <w:rsid w:val="009E7819"/>
    <w:rsid w:val="009F528A"/>
    <w:rsid w:val="009F646B"/>
    <w:rsid w:val="00A05E8D"/>
    <w:rsid w:val="00A13583"/>
    <w:rsid w:val="00A17FAA"/>
    <w:rsid w:val="00A21A37"/>
    <w:rsid w:val="00A22A00"/>
    <w:rsid w:val="00A32570"/>
    <w:rsid w:val="00A32921"/>
    <w:rsid w:val="00A34516"/>
    <w:rsid w:val="00A40ED5"/>
    <w:rsid w:val="00A40F6A"/>
    <w:rsid w:val="00A437F8"/>
    <w:rsid w:val="00A43B52"/>
    <w:rsid w:val="00A538E1"/>
    <w:rsid w:val="00A55FF7"/>
    <w:rsid w:val="00A62154"/>
    <w:rsid w:val="00A73EEC"/>
    <w:rsid w:val="00A76D34"/>
    <w:rsid w:val="00A83E0D"/>
    <w:rsid w:val="00A9598C"/>
    <w:rsid w:val="00A97DF2"/>
    <w:rsid w:val="00AA0BB6"/>
    <w:rsid w:val="00AA0F4C"/>
    <w:rsid w:val="00AB326F"/>
    <w:rsid w:val="00AB3D40"/>
    <w:rsid w:val="00AB45ED"/>
    <w:rsid w:val="00AC1426"/>
    <w:rsid w:val="00AC15F1"/>
    <w:rsid w:val="00AC1F15"/>
    <w:rsid w:val="00AE406B"/>
    <w:rsid w:val="00AE58B4"/>
    <w:rsid w:val="00AF17CA"/>
    <w:rsid w:val="00AF4638"/>
    <w:rsid w:val="00AF593E"/>
    <w:rsid w:val="00AF6968"/>
    <w:rsid w:val="00B05575"/>
    <w:rsid w:val="00B05C57"/>
    <w:rsid w:val="00B125DD"/>
    <w:rsid w:val="00B137BF"/>
    <w:rsid w:val="00B144D7"/>
    <w:rsid w:val="00B14AB1"/>
    <w:rsid w:val="00B16539"/>
    <w:rsid w:val="00B26AC6"/>
    <w:rsid w:val="00B27521"/>
    <w:rsid w:val="00B36AD5"/>
    <w:rsid w:val="00B479E0"/>
    <w:rsid w:val="00B521FA"/>
    <w:rsid w:val="00B62D05"/>
    <w:rsid w:val="00B6586F"/>
    <w:rsid w:val="00B70472"/>
    <w:rsid w:val="00B71F33"/>
    <w:rsid w:val="00B8448C"/>
    <w:rsid w:val="00B84FF6"/>
    <w:rsid w:val="00B85284"/>
    <w:rsid w:val="00B85493"/>
    <w:rsid w:val="00B87064"/>
    <w:rsid w:val="00B90617"/>
    <w:rsid w:val="00B91E60"/>
    <w:rsid w:val="00B936E3"/>
    <w:rsid w:val="00B957D7"/>
    <w:rsid w:val="00B96E38"/>
    <w:rsid w:val="00BA0E5C"/>
    <w:rsid w:val="00BA5E61"/>
    <w:rsid w:val="00BB4D6D"/>
    <w:rsid w:val="00BB68CB"/>
    <w:rsid w:val="00BC17B2"/>
    <w:rsid w:val="00BC75EC"/>
    <w:rsid w:val="00BD0B55"/>
    <w:rsid w:val="00BD2256"/>
    <w:rsid w:val="00BD5C77"/>
    <w:rsid w:val="00BE2165"/>
    <w:rsid w:val="00BE3B17"/>
    <w:rsid w:val="00BE49CC"/>
    <w:rsid w:val="00BF07DD"/>
    <w:rsid w:val="00BF3DE6"/>
    <w:rsid w:val="00BF3DE8"/>
    <w:rsid w:val="00BF6C52"/>
    <w:rsid w:val="00BF6FA3"/>
    <w:rsid w:val="00C00E3C"/>
    <w:rsid w:val="00C0160C"/>
    <w:rsid w:val="00C17AD4"/>
    <w:rsid w:val="00C300AC"/>
    <w:rsid w:val="00C30F39"/>
    <w:rsid w:val="00C360D3"/>
    <w:rsid w:val="00C40884"/>
    <w:rsid w:val="00C461FA"/>
    <w:rsid w:val="00C500BB"/>
    <w:rsid w:val="00C51986"/>
    <w:rsid w:val="00C5639C"/>
    <w:rsid w:val="00C56CA2"/>
    <w:rsid w:val="00C60FD3"/>
    <w:rsid w:val="00C70CCF"/>
    <w:rsid w:val="00C71E16"/>
    <w:rsid w:val="00C830E0"/>
    <w:rsid w:val="00C85C03"/>
    <w:rsid w:val="00C94243"/>
    <w:rsid w:val="00C950F6"/>
    <w:rsid w:val="00CB1E99"/>
    <w:rsid w:val="00CB6EBA"/>
    <w:rsid w:val="00CC0185"/>
    <w:rsid w:val="00CD0E66"/>
    <w:rsid w:val="00CD1E40"/>
    <w:rsid w:val="00CE0EC2"/>
    <w:rsid w:val="00CE18E2"/>
    <w:rsid w:val="00CE2661"/>
    <w:rsid w:val="00CE665F"/>
    <w:rsid w:val="00CF55B5"/>
    <w:rsid w:val="00CF5912"/>
    <w:rsid w:val="00D000BC"/>
    <w:rsid w:val="00D057C5"/>
    <w:rsid w:val="00D12721"/>
    <w:rsid w:val="00D16CA5"/>
    <w:rsid w:val="00D24905"/>
    <w:rsid w:val="00D308A8"/>
    <w:rsid w:val="00D338A7"/>
    <w:rsid w:val="00D357FE"/>
    <w:rsid w:val="00D37461"/>
    <w:rsid w:val="00D45F42"/>
    <w:rsid w:val="00D470E3"/>
    <w:rsid w:val="00D56031"/>
    <w:rsid w:val="00D62408"/>
    <w:rsid w:val="00D64DC9"/>
    <w:rsid w:val="00D65200"/>
    <w:rsid w:val="00D658AE"/>
    <w:rsid w:val="00D65E18"/>
    <w:rsid w:val="00D83C1F"/>
    <w:rsid w:val="00D84B23"/>
    <w:rsid w:val="00D8591F"/>
    <w:rsid w:val="00D92532"/>
    <w:rsid w:val="00DA12EC"/>
    <w:rsid w:val="00DA32C1"/>
    <w:rsid w:val="00DA4DB4"/>
    <w:rsid w:val="00DB17ED"/>
    <w:rsid w:val="00DB2C0C"/>
    <w:rsid w:val="00DC72B2"/>
    <w:rsid w:val="00DD12A1"/>
    <w:rsid w:val="00DD46E6"/>
    <w:rsid w:val="00DE1D33"/>
    <w:rsid w:val="00DF4EF3"/>
    <w:rsid w:val="00DF539F"/>
    <w:rsid w:val="00DF7D42"/>
    <w:rsid w:val="00E01F8D"/>
    <w:rsid w:val="00E021C0"/>
    <w:rsid w:val="00E04F6A"/>
    <w:rsid w:val="00E059CE"/>
    <w:rsid w:val="00E06477"/>
    <w:rsid w:val="00E0652D"/>
    <w:rsid w:val="00E168CA"/>
    <w:rsid w:val="00E174F8"/>
    <w:rsid w:val="00E21FB2"/>
    <w:rsid w:val="00E32CDC"/>
    <w:rsid w:val="00E36DE4"/>
    <w:rsid w:val="00E4012A"/>
    <w:rsid w:val="00E5159D"/>
    <w:rsid w:val="00E56511"/>
    <w:rsid w:val="00E56801"/>
    <w:rsid w:val="00E64763"/>
    <w:rsid w:val="00E66590"/>
    <w:rsid w:val="00E80B24"/>
    <w:rsid w:val="00E80CBB"/>
    <w:rsid w:val="00E81FBD"/>
    <w:rsid w:val="00E87298"/>
    <w:rsid w:val="00E91CFA"/>
    <w:rsid w:val="00E943CE"/>
    <w:rsid w:val="00EA15C2"/>
    <w:rsid w:val="00EB33C5"/>
    <w:rsid w:val="00EB7C1E"/>
    <w:rsid w:val="00EC3094"/>
    <w:rsid w:val="00ED55E1"/>
    <w:rsid w:val="00EE2B60"/>
    <w:rsid w:val="00EF1131"/>
    <w:rsid w:val="00EF637D"/>
    <w:rsid w:val="00F052DB"/>
    <w:rsid w:val="00F12FFE"/>
    <w:rsid w:val="00F13C8D"/>
    <w:rsid w:val="00F145A4"/>
    <w:rsid w:val="00F151F5"/>
    <w:rsid w:val="00F17A54"/>
    <w:rsid w:val="00F21940"/>
    <w:rsid w:val="00F33589"/>
    <w:rsid w:val="00F35AEC"/>
    <w:rsid w:val="00F37400"/>
    <w:rsid w:val="00F43754"/>
    <w:rsid w:val="00F4705F"/>
    <w:rsid w:val="00F4782B"/>
    <w:rsid w:val="00F55C38"/>
    <w:rsid w:val="00F70326"/>
    <w:rsid w:val="00F71E76"/>
    <w:rsid w:val="00F93553"/>
    <w:rsid w:val="00F9426C"/>
    <w:rsid w:val="00FA1F2C"/>
    <w:rsid w:val="00FB2F03"/>
    <w:rsid w:val="00FB34AD"/>
    <w:rsid w:val="00FB41F2"/>
    <w:rsid w:val="00FB489C"/>
    <w:rsid w:val="00FB5CA2"/>
    <w:rsid w:val="00FB7F9C"/>
    <w:rsid w:val="00FC71FC"/>
    <w:rsid w:val="00FC76CD"/>
    <w:rsid w:val="00FE4BB2"/>
    <w:rsid w:val="00FE4D9F"/>
    <w:rsid w:val="00FE6D48"/>
    <w:rsid w:val="00FE71D3"/>
    <w:rsid w:val="00FF4444"/>
    <w:rsid w:val="00FF573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536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2FDE"/>
    <w:pPr>
      <w:ind w:left="720"/>
      <w:contextualSpacing/>
    </w:pPr>
  </w:style>
  <w:style w:type="table" w:styleId="TableGrid">
    <w:name w:val="Table Grid"/>
    <w:basedOn w:val="TableNormal"/>
    <w:uiPriority w:val="59"/>
    <w:rsid w:val="00BD0B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F33589"/>
    <w:rPr>
      <w:strike w:val="0"/>
      <w:dstrike w:val="0"/>
      <w:color w:val="004276"/>
      <w:u w:val="none"/>
      <w:effect w:val="none"/>
    </w:rPr>
  </w:style>
  <w:style w:type="paragraph" w:styleId="NormalWeb">
    <w:name w:val="Normal (Web)"/>
    <w:basedOn w:val="Normal"/>
    <w:uiPriority w:val="99"/>
    <w:unhideWhenUsed/>
    <w:rsid w:val="00F33589"/>
    <w:pPr>
      <w:spacing w:after="203" w:line="240" w:lineRule="auto"/>
    </w:pPr>
    <w:rPr>
      <w:rFonts w:ascii="Times New Roman" w:eastAsia="Times New Roman" w:hAnsi="Times New Roman" w:cs="Times New Roman"/>
      <w:sz w:val="24"/>
      <w:szCs w:val="24"/>
      <w:lang w:eastAsia="el-GR"/>
    </w:rPr>
  </w:style>
  <w:style w:type="paragraph" w:styleId="Header">
    <w:name w:val="header"/>
    <w:basedOn w:val="Normal"/>
    <w:link w:val="HeaderChar"/>
    <w:uiPriority w:val="99"/>
    <w:unhideWhenUsed/>
    <w:rsid w:val="00E943CE"/>
    <w:pPr>
      <w:tabs>
        <w:tab w:val="center" w:pos="4153"/>
        <w:tab w:val="right" w:pos="8306"/>
      </w:tabs>
      <w:spacing w:after="0" w:line="240" w:lineRule="auto"/>
    </w:pPr>
  </w:style>
  <w:style w:type="character" w:customStyle="1" w:styleId="HeaderChar">
    <w:name w:val="Header Char"/>
    <w:basedOn w:val="DefaultParagraphFont"/>
    <w:link w:val="Header"/>
    <w:uiPriority w:val="99"/>
    <w:rsid w:val="00E943CE"/>
  </w:style>
  <w:style w:type="paragraph" w:styleId="Footer">
    <w:name w:val="footer"/>
    <w:basedOn w:val="Normal"/>
    <w:link w:val="FooterChar"/>
    <w:uiPriority w:val="99"/>
    <w:semiHidden/>
    <w:unhideWhenUsed/>
    <w:rsid w:val="00E943CE"/>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E943CE"/>
  </w:style>
</w:styles>
</file>

<file path=word/webSettings.xml><?xml version="1.0" encoding="utf-8"?>
<w:webSettings xmlns:r="http://schemas.openxmlformats.org/officeDocument/2006/relationships" xmlns:w="http://schemas.openxmlformats.org/wordprocessingml/2006/main">
  <w:divs>
    <w:div w:id="104425232">
      <w:bodyDiv w:val="1"/>
      <w:marLeft w:val="0"/>
      <w:marRight w:val="0"/>
      <w:marTop w:val="0"/>
      <w:marBottom w:val="0"/>
      <w:divBdr>
        <w:top w:val="none" w:sz="0" w:space="0" w:color="auto"/>
        <w:left w:val="none" w:sz="0" w:space="0" w:color="auto"/>
        <w:bottom w:val="none" w:sz="0" w:space="0" w:color="auto"/>
        <w:right w:val="none" w:sz="0" w:space="0" w:color="auto"/>
      </w:divBdr>
      <w:divsChild>
        <w:div w:id="322701242">
          <w:marLeft w:val="0"/>
          <w:marRight w:val="0"/>
          <w:marTop w:val="68"/>
          <w:marBottom w:val="119"/>
          <w:divBdr>
            <w:top w:val="none" w:sz="0" w:space="0" w:color="auto"/>
            <w:left w:val="none" w:sz="0" w:space="0" w:color="auto"/>
            <w:bottom w:val="none" w:sz="0" w:space="0" w:color="auto"/>
            <w:right w:val="none" w:sz="0" w:space="0" w:color="auto"/>
          </w:divBdr>
          <w:divsChild>
            <w:div w:id="1542204937">
              <w:marLeft w:val="0"/>
              <w:marRight w:val="0"/>
              <w:marTop w:val="0"/>
              <w:marBottom w:val="0"/>
              <w:divBdr>
                <w:top w:val="none" w:sz="0" w:space="0" w:color="auto"/>
                <w:left w:val="none" w:sz="0" w:space="0" w:color="auto"/>
                <w:bottom w:val="none" w:sz="0" w:space="0" w:color="auto"/>
                <w:right w:val="none" w:sz="0" w:space="0" w:color="auto"/>
              </w:divBdr>
              <w:divsChild>
                <w:div w:id="88359733">
                  <w:marLeft w:val="0"/>
                  <w:marRight w:val="0"/>
                  <w:marTop w:val="0"/>
                  <w:marBottom w:val="0"/>
                  <w:divBdr>
                    <w:top w:val="none" w:sz="0" w:space="0" w:color="auto"/>
                    <w:left w:val="none" w:sz="0" w:space="0" w:color="auto"/>
                    <w:bottom w:val="none" w:sz="0" w:space="0" w:color="auto"/>
                    <w:right w:val="none" w:sz="0" w:space="0" w:color="auto"/>
                  </w:divBdr>
                  <w:divsChild>
                    <w:div w:id="1090586271">
                      <w:marLeft w:val="0"/>
                      <w:marRight w:val="0"/>
                      <w:marTop w:val="0"/>
                      <w:marBottom w:val="0"/>
                      <w:divBdr>
                        <w:top w:val="none" w:sz="0" w:space="0" w:color="auto"/>
                        <w:left w:val="none" w:sz="0" w:space="0" w:color="auto"/>
                        <w:bottom w:val="none" w:sz="0" w:space="0" w:color="auto"/>
                        <w:right w:val="none" w:sz="0" w:space="0" w:color="auto"/>
                      </w:divBdr>
                      <w:divsChild>
                        <w:div w:id="928349007">
                          <w:marLeft w:val="0"/>
                          <w:marRight w:val="0"/>
                          <w:marTop w:val="0"/>
                          <w:marBottom w:val="0"/>
                          <w:divBdr>
                            <w:top w:val="none" w:sz="0" w:space="0" w:color="auto"/>
                            <w:left w:val="none" w:sz="0" w:space="0" w:color="auto"/>
                            <w:bottom w:val="none" w:sz="0" w:space="0" w:color="auto"/>
                            <w:right w:val="none" w:sz="0" w:space="0" w:color="auto"/>
                          </w:divBdr>
                          <w:divsChild>
                            <w:div w:id="242570044">
                              <w:marLeft w:val="0"/>
                              <w:marRight w:val="0"/>
                              <w:marTop w:val="0"/>
                              <w:marBottom w:val="0"/>
                              <w:divBdr>
                                <w:top w:val="none" w:sz="0" w:space="0" w:color="auto"/>
                                <w:left w:val="double" w:sz="12" w:space="7" w:color="3B3B3B"/>
                                <w:bottom w:val="double" w:sz="12" w:space="7" w:color="3B3B3B"/>
                                <w:right w:val="double" w:sz="12" w:space="7" w:color="3B3B3B"/>
                              </w:divBdr>
                              <w:divsChild>
                                <w:div w:id="1456094913">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152718191">
      <w:bodyDiv w:val="1"/>
      <w:marLeft w:val="0"/>
      <w:marRight w:val="0"/>
      <w:marTop w:val="0"/>
      <w:marBottom w:val="0"/>
      <w:divBdr>
        <w:top w:val="none" w:sz="0" w:space="0" w:color="auto"/>
        <w:left w:val="none" w:sz="0" w:space="0" w:color="auto"/>
        <w:bottom w:val="none" w:sz="0" w:space="0" w:color="auto"/>
        <w:right w:val="none" w:sz="0" w:space="0" w:color="auto"/>
      </w:divBdr>
      <w:divsChild>
        <w:div w:id="867452553">
          <w:marLeft w:val="0"/>
          <w:marRight w:val="0"/>
          <w:marTop w:val="68"/>
          <w:marBottom w:val="119"/>
          <w:divBdr>
            <w:top w:val="none" w:sz="0" w:space="0" w:color="auto"/>
            <w:left w:val="none" w:sz="0" w:space="0" w:color="auto"/>
            <w:bottom w:val="none" w:sz="0" w:space="0" w:color="auto"/>
            <w:right w:val="none" w:sz="0" w:space="0" w:color="auto"/>
          </w:divBdr>
          <w:divsChild>
            <w:div w:id="645282685">
              <w:marLeft w:val="0"/>
              <w:marRight w:val="0"/>
              <w:marTop w:val="0"/>
              <w:marBottom w:val="0"/>
              <w:divBdr>
                <w:top w:val="none" w:sz="0" w:space="0" w:color="auto"/>
                <w:left w:val="none" w:sz="0" w:space="0" w:color="auto"/>
                <w:bottom w:val="none" w:sz="0" w:space="0" w:color="auto"/>
                <w:right w:val="none" w:sz="0" w:space="0" w:color="auto"/>
              </w:divBdr>
              <w:divsChild>
                <w:div w:id="2096513333">
                  <w:marLeft w:val="0"/>
                  <w:marRight w:val="0"/>
                  <w:marTop w:val="0"/>
                  <w:marBottom w:val="0"/>
                  <w:divBdr>
                    <w:top w:val="none" w:sz="0" w:space="0" w:color="auto"/>
                    <w:left w:val="none" w:sz="0" w:space="0" w:color="auto"/>
                    <w:bottom w:val="none" w:sz="0" w:space="0" w:color="auto"/>
                    <w:right w:val="none" w:sz="0" w:space="0" w:color="auto"/>
                  </w:divBdr>
                  <w:divsChild>
                    <w:div w:id="586765498">
                      <w:marLeft w:val="0"/>
                      <w:marRight w:val="0"/>
                      <w:marTop w:val="0"/>
                      <w:marBottom w:val="0"/>
                      <w:divBdr>
                        <w:top w:val="none" w:sz="0" w:space="0" w:color="auto"/>
                        <w:left w:val="none" w:sz="0" w:space="0" w:color="auto"/>
                        <w:bottom w:val="none" w:sz="0" w:space="0" w:color="auto"/>
                        <w:right w:val="none" w:sz="0" w:space="0" w:color="auto"/>
                      </w:divBdr>
                      <w:divsChild>
                        <w:div w:id="1633826360">
                          <w:marLeft w:val="0"/>
                          <w:marRight w:val="0"/>
                          <w:marTop w:val="0"/>
                          <w:marBottom w:val="0"/>
                          <w:divBdr>
                            <w:top w:val="none" w:sz="0" w:space="0" w:color="auto"/>
                            <w:left w:val="none" w:sz="0" w:space="0" w:color="auto"/>
                            <w:bottom w:val="none" w:sz="0" w:space="0" w:color="auto"/>
                            <w:right w:val="none" w:sz="0" w:space="0" w:color="auto"/>
                          </w:divBdr>
                          <w:divsChild>
                            <w:div w:id="699164481">
                              <w:marLeft w:val="0"/>
                              <w:marRight w:val="0"/>
                              <w:marTop w:val="0"/>
                              <w:marBottom w:val="0"/>
                              <w:divBdr>
                                <w:top w:val="none" w:sz="0" w:space="0" w:color="auto"/>
                                <w:left w:val="double" w:sz="12" w:space="7" w:color="3B3B3B"/>
                                <w:bottom w:val="double" w:sz="12" w:space="7" w:color="3B3B3B"/>
                                <w:right w:val="double" w:sz="12" w:space="7" w:color="3B3B3B"/>
                              </w:divBdr>
                              <w:divsChild>
                                <w:div w:id="1996183225">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200214577">
      <w:bodyDiv w:val="1"/>
      <w:marLeft w:val="0"/>
      <w:marRight w:val="0"/>
      <w:marTop w:val="0"/>
      <w:marBottom w:val="0"/>
      <w:divBdr>
        <w:top w:val="none" w:sz="0" w:space="0" w:color="auto"/>
        <w:left w:val="none" w:sz="0" w:space="0" w:color="auto"/>
        <w:bottom w:val="none" w:sz="0" w:space="0" w:color="auto"/>
        <w:right w:val="none" w:sz="0" w:space="0" w:color="auto"/>
      </w:divBdr>
      <w:divsChild>
        <w:div w:id="179592592">
          <w:marLeft w:val="0"/>
          <w:marRight w:val="0"/>
          <w:marTop w:val="68"/>
          <w:marBottom w:val="119"/>
          <w:divBdr>
            <w:top w:val="none" w:sz="0" w:space="0" w:color="auto"/>
            <w:left w:val="none" w:sz="0" w:space="0" w:color="auto"/>
            <w:bottom w:val="none" w:sz="0" w:space="0" w:color="auto"/>
            <w:right w:val="none" w:sz="0" w:space="0" w:color="auto"/>
          </w:divBdr>
          <w:divsChild>
            <w:div w:id="2052875878">
              <w:marLeft w:val="0"/>
              <w:marRight w:val="0"/>
              <w:marTop w:val="0"/>
              <w:marBottom w:val="0"/>
              <w:divBdr>
                <w:top w:val="none" w:sz="0" w:space="0" w:color="auto"/>
                <w:left w:val="none" w:sz="0" w:space="0" w:color="auto"/>
                <w:bottom w:val="none" w:sz="0" w:space="0" w:color="auto"/>
                <w:right w:val="none" w:sz="0" w:space="0" w:color="auto"/>
              </w:divBdr>
              <w:divsChild>
                <w:div w:id="146746431">
                  <w:marLeft w:val="0"/>
                  <w:marRight w:val="0"/>
                  <w:marTop w:val="0"/>
                  <w:marBottom w:val="0"/>
                  <w:divBdr>
                    <w:top w:val="none" w:sz="0" w:space="0" w:color="auto"/>
                    <w:left w:val="none" w:sz="0" w:space="0" w:color="auto"/>
                    <w:bottom w:val="none" w:sz="0" w:space="0" w:color="auto"/>
                    <w:right w:val="none" w:sz="0" w:space="0" w:color="auto"/>
                  </w:divBdr>
                  <w:divsChild>
                    <w:div w:id="187330384">
                      <w:marLeft w:val="0"/>
                      <w:marRight w:val="0"/>
                      <w:marTop w:val="0"/>
                      <w:marBottom w:val="0"/>
                      <w:divBdr>
                        <w:top w:val="none" w:sz="0" w:space="0" w:color="auto"/>
                        <w:left w:val="none" w:sz="0" w:space="0" w:color="auto"/>
                        <w:bottom w:val="none" w:sz="0" w:space="0" w:color="auto"/>
                        <w:right w:val="none" w:sz="0" w:space="0" w:color="auto"/>
                      </w:divBdr>
                      <w:divsChild>
                        <w:div w:id="1007364780">
                          <w:marLeft w:val="0"/>
                          <w:marRight w:val="0"/>
                          <w:marTop w:val="0"/>
                          <w:marBottom w:val="0"/>
                          <w:divBdr>
                            <w:top w:val="none" w:sz="0" w:space="0" w:color="auto"/>
                            <w:left w:val="none" w:sz="0" w:space="0" w:color="auto"/>
                            <w:bottom w:val="none" w:sz="0" w:space="0" w:color="auto"/>
                            <w:right w:val="none" w:sz="0" w:space="0" w:color="auto"/>
                          </w:divBdr>
                          <w:divsChild>
                            <w:div w:id="1511798773">
                              <w:marLeft w:val="0"/>
                              <w:marRight w:val="0"/>
                              <w:marTop w:val="0"/>
                              <w:marBottom w:val="0"/>
                              <w:divBdr>
                                <w:top w:val="none" w:sz="0" w:space="0" w:color="auto"/>
                                <w:left w:val="double" w:sz="12" w:space="7" w:color="3B3B3B"/>
                                <w:bottom w:val="double" w:sz="12" w:space="7" w:color="3B3B3B"/>
                                <w:right w:val="double" w:sz="12" w:space="7" w:color="3B3B3B"/>
                              </w:divBdr>
                              <w:divsChild>
                                <w:div w:id="1488205136">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213011800">
      <w:bodyDiv w:val="1"/>
      <w:marLeft w:val="0"/>
      <w:marRight w:val="0"/>
      <w:marTop w:val="0"/>
      <w:marBottom w:val="0"/>
      <w:divBdr>
        <w:top w:val="none" w:sz="0" w:space="0" w:color="auto"/>
        <w:left w:val="none" w:sz="0" w:space="0" w:color="auto"/>
        <w:bottom w:val="none" w:sz="0" w:space="0" w:color="auto"/>
        <w:right w:val="none" w:sz="0" w:space="0" w:color="auto"/>
      </w:divBdr>
      <w:divsChild>
        <w:div w:id="1040130201">
          <w:marLeft w:val="0"/>
          <w:marRight w:val="0"/>
          <w:marTop w:val="68"/>
          <w:marBottom w:val="119"/>
          <w:divBdr>
            <w:top w:val="none" w:sz="0" w:space="0" w:color="auto"/>
            <w:left w:val="none" w:sz="0" w:space="0" w:color="auto"/>
            <w:bottom w:val="none" w:sz="0" w:space="0" w:color="auto"/>
            <w:right w:val="none" w:sz="0" w:space="0" w:color="auto"/>
          </w:divBdr>
          <w:divsChild>
            <w:div w:id="2087484977">
              <w:marLeft w:val="0"/>
              <w:marRight w:val="0"/>
              <w:marTop w:val="0"/>
              <w:marBottom w:val="0"/>
              <w:divBdr>
                <w:top w:val="none" w:sz="0" w:space="0" w:color="auto"/>
                <w:left w:val="none" w:sz="0" w:space="0" w:color="auto"/>
                <w:bottom w:val="none" w:sz="0" w:space="0" w:color="auto"/>
                <w:right w:val="none" w:sz="0" w:space="0" w:color="auto"/>
              </w:divBdr>
              <w:divsChild>
                <w:div w:id="1513448161">
                  <w:marLeft w:val="0"/>
                  <w:marRight w:val="0"/>
                  <w:marTop w:val="0"/>
                  <w:marBottom w:val="0"/>
                  <w:divBdr>
                    <w:top w:val="none" w:sz="0" w:space="0" w:color="auto"/>
                    <w:left w:val="none" w:sz="0" w:space="0" w:color="auto"/>
                    <w:bottom w:val="none" w:sz="0" w:space="0" w:color="auto"/>
                    <w:right w:val="none" w:sz="0" w:space="0" w:color="auto"/>
                  </w:divBdr>
                  <w:divsChild>
                    <w:div w:id="621031700">
                      <w:marLeft w:val="0"/>
                      <w:marRight w:val="0"/>
                      <w:marTop w:val="0"/>
                      <w:marBottom w:val="0"/>
                      <w:divBdr>
                        <w:top w:val="none" w:sz="0" w:space="0" w:color="auto"/>
                        <w:left w:val="none" w:sz="0" w:space="0" w:color="auto"/>
                        <w:bottom w:val="none" w:sz="0" w:space="0" w:color="auto"/>
                        <w:right w:val="none" w:sz="0" w:space="0" w:color="auto"/>
                      </w:divBdr>
                      <w:divsChild>
                        <w:div w:id="1282953066">
                          <w:marLeft w:val="0"/>
                          <w:marRight w:val="0"/>
                          <w:marTop w:val="0"/>
                          <w:marBottom w:val="0"/>
                          <w:divBdr>
                            <w:top w:val="none" w:sz="0" w:space="0" w:color="auto"/>
                            <w:left w:val="none" w:sz="0" w:space="0" w:color="auto"/>
                            <w:bottom w:val="none" w:sz="0" w:space="0" w:color="auto"/>
                            <w:right w:val="none" w:sz="0" w:space="0" w:color="auto"/>
                          </w:divBdr>
                          <w:divsChild>
                            <w:div w:id="2077051924">
                              <w:marLeft w:val="0"/>
                              <w:marRight w:val="0"/>
                              <w:marTop w:val="0"/>
                              <w:marBottom w:val="0"/>
                              <w:divBdr>
                                <w:top w:val="none" w:sz="0" w:space="0" w:color="auto"/>
                                <w:left w:val="double" w:sz="12" w:space="7" w:color="3B3B3B"/>
                                <w:bottom w:val="double" w:sz="12" w:space="7" w:color="3B3B3B"/>
                                <w:right w:val="double" w:sz="12" w:space="7" w:color="3B3B3B"/>
                              </w:divBdr>
                              <w:divsChild>
                                <w:div w:id="1808663789">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283734063">
      <w:bodyDiv w:val="1"/>
      <w:marLeft w:val="0"/>
      <w:marRight w:val="0"/>
      <w:marTop w:val="0"/>
      <w:marBottom w:val="0"/>
      <w:divBdr>
        <w:top w:val="none" w:sz="0" w:space="0" w:color="auto"/>
        <w:left w:val="none" w:sz="0" w:space="0" w:color="auto"/>
        <w:bottom w:val="none" w:sz="0" w:space="0" w:color="auto"/>
        <w:right w:val="none" w:sz="0" w:space="0" w:color="auto"/>
      </w:divBdr>
      <w:divsChild>
        <w:div w:id="336659013">
          <w:marLeft w:val="0"/>
          <w:marRight w:val="0"/>
          <w:marTop w:val="68"/>
          <w:marBottom w:val="119"/>
          <w:divBdr>
            <w:top w:val="none" w:sz="0" w:space="0" w:color="auto"/>
            <w:left w:val="none" w:sz="0" w:space="0" w:color="auto"/>
            <w:bottom w:val="none" w:sz="0" w:space="0" w:color="auto"/>
            <w:right w:val="none" w:sz="0" w:space="0" w:color="auto"/>
          </w:divBdr>
          <w:divsChild>
            <w:div w:id="109473887">
              <w:marLeft w:val="0"/>
              <w:marRight w:val="0"/>
              <w:marTop w:val="0"/>
              <w:marBottom w:val="0"/>
              <w:divBdr>
                <w:top w:val="none" w:sz="0" w:space="0" w:color="auto"/>
                <w:left w:val="none" w:sz="0" w:space="0" w:color="auto"/>
                <w:bottom w:val="none" w:sz="0" w:space="0" w:color="auto"/>
                <w:right w:val="none" w:sz="0" w:space="0" w:color="auto"/>
              </w:divBdr>
              <w:divsChild>
                <w:div w:id="1284577852">
                  <w:marLeft w:val="0"/>
                  <w:marRight w:val="0"/>
                  <w:marTop w:val="0"/>
                  <w:marBottom w:val="0"/>
                  <w:divBdr>
                    <w:top w:val="none" w:sz="0" w:space="0" w:color="auto"/>
                    <w:left w:val="none" w:sz="0" w:space="0" w:color="auto"/>
                    <w:bottom w:val="none" w:sz="0" w:space="0" w:color="auto"/>
                    <w:right w:val="none" w:sz="0" w:space="0" w:color="auto"/>
                  </w:divBdr>
                  <w:divsChild>
                    <w:div w:id="1778211248">
                      <w:marLeft w:val="0"/>
                      <w:marRight w:val="0"/>
                      <w:marTop w:val="0"/>
                      <w:marBottom w:val="0"/>
                      <w:divBdr>
                        <w:top w:val="none" w:sz="0" w:space="0" w:color="auto"/>
                        <w:left w:val="none" w:sz="0" w:space="0" w:color="auto"/>
                        <w:bottom w:val="none" w:sz="0" w:space="0" w:color="auto"/>
                        <w:right w:val="none" w:sz="0" w:space="0" w:color="auto"/>
                      </w:divBdr>
                      <w:divsChild>
                        <w:div w:id="753168441">
                          <w:marLeft w:val="0"/>
                          <w:marRight w:val="0"/>
                          <w:marTop w:val="0"/>
                          <w:marBottom w:val="0"/>
                          <w:divBdr>
                            <w:top w:val="none" w:sz="0" w:space="0" w:color="auto"/>
                            <w:left w:val="none" w:sz="0" w:space="0" w:color="auto"/>
                            <w:bottom w:val="none" w:sz="0" w:space="0" w:color="auto"/>
                            <w:right w:val="none" w:sz="0" w:space="0" w:color="auto"/>
                          </w:divBdr>
                          <w:divsChild>
                            <w:div w:id="686518928">
                              <w:marLeft w:val="0"/>
                              <w:marRight w:val="0"/>
                              <w:marTop w:val="0"/>
                              <w:marBottom w:val="0"/>
                              <w:divBdr>
                                <w:top w:val="none" w:sz="0" w:space="0" w:color="auto"/>
                                <w:left w:val="double" w:sz="12" w:space="7" w:color="3B3B3B"/>
                                <w:bottom w:val="double" w:sz="12" w:space="7" w:color="3B3B3B"/>
                                <w:right w:val="double" w:sz="12" w:space="7" w:color="3B3B3B"/>
                              </w:divBdr>
                              <w:divsChild>
                                <w:div w:id="139614759">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312100079">
      <w:bodyDiv w:val="1"/>
      <w:marLeft w:val="0"/>
      <w:marRight w:val="0"/>
      <w:marTop w:val="0"/>
      <w:marBottom w:val="0"/>
      <w:divBdr>
        <w:top w:val="none" w:sz="0" w:space="0" w:color="auto"/>
        <w:left w:val="none" w:sz="0" w:space="0" w:color="auto"/>
        <w:bottom w:val="none" w:sz="0" w:space="0" w:color="auto"/>
        <w:right w:val="none" w:sz="0" w:space="0" w:color="auto"/>
      </w:divBdr>
      <w:divsChild>
        <w:div w:id="1778215964">
          <w:marLeft w:val="0"/>
          <w:marRight w:val="0"/>
          <w:marTop w:val="68"/>
          <w:marBottom w:val="119"/>
          <w:divBdr>
            <w:top w:val="none" w:sz="0" w:space="0" w:color="auto"/>
            <w:left w:val="none" w:sz="0" w:space="0" w:color="auto"/>
            <w:bottom w:val="none" w:sz="0" w:space="0" w:color="auto"/>
            <w:right w:val="none" w:sz="0" w:space="0" w:color="auto"/>
          </w:divBdr>
          <w:divsChild>
            <w:div w:id="1809980277">
              <w:marLeft w:val="0"/>
              <w:marRight w:val="0"/>
              <w:marTop w:val="0"/>
              <w:marBottom w:val="0"/>
              <w:divBdr>
                <w:top w:val="none" w:sz="0" w:space="0" w:color="auto"/>
                <w:left w:val="none" w:sz="0" w:space="0" w:color="auto"/>
                <w:bottom w:val="none" w:sz="0" w:space="0" w:color="auto"/>
                <w:right w:val="none" w:sz="0" w:space="0" w:color="auto"/>
              </w:divBdr>
              <w:divsChild>
                <w:div w:id="1662150916">
                  <w:marLeft w:val="0"/>
                  <w:marRight w:val="0"/>
                  <w:marTop w:val="0"/>
                  <w:marBottom w:val="0"/>
                  <w:divBdr>
                    <w:top w:val="none" w:sz="0" w:space="0" w:color="auto"/>
                    <w:left w:val="none" w:sz="0" w:space="0" w:color="auto"/>
                    <w:bottom w:val="none" w:sz="0" w:space="0" w:color="auto"/>
                    <w:right w:val="none" w:sz="0" w:space="0" w:color="auto"/>
                  </w:divBdr>
                  <w:divsChild>
                    <w:div w:id="141242667">
                      <w:marLeft w:val="0"/>
                      <w:marRight w:val="0"/>
                      <w:marTop w:val="0"/>
                      <w:marBottom w:val="0"/>
                      <w:divBdr>
                        <w:top w:val="none" w:sz="0" w:space="0" w:color="auto"/>
                        <w:left w:val="none" w:sz="0" w:space="0" w:color="auto"/>
                        <w:bottom w:val="none" w:sz="0" w:space="0" w:color="auto"/>
                        <w:right w:val="none" w:sz="0" w:space="0" w:color="auto"/>
                      </w:divBdr>
                      <w:divsChild>
                        <w:div w:id="1947227873">
                          <w:marLeft w:val="0"/>
                          <w:marRight w:val="0"/>
                          <w:marTop w:val="0"/>
                          <w:marBottom w:val="0"/>
                          <w:divBdr>
                            <w:top w:val="none" w:sz="0" w:space="0" w:color="auto"/>
                            <w:left w:val="none" w:sz="0" w:space="0" w:color="auto"/>
                            <w:bottom w:val="none" w:sz="0" w:space="0" w:color="auto"/>
                            <w:right w:val="none" w:sz="0" w:space="0" w:color="auto"/>
                          </w:divBdr>
                          <w:divsChild>
                            <w:div w:id="1182475776">
                              <w:marLeft w:val="0"/>
                              <w:marRight w:val="0"/>
                              <w:marTop w:val="0"/>
                              <w:marBottom w:val="0"/>
                              <w:divBdr>
                                <w:top w:val="none" w:sz="0" w:space="0" w:color="auto"/>
                                <w:left w:val="double" w:sz="12" w:space="7" w:color="3B3B3B"/>
                                <w:bottom w:val="double" w:sz="12" w:space="7" w:color="3B3B3B"/>
                                <w:right w:val="double" w:sz="12" w:space="7" w:color="3B3B3B"/>
                              </w:divBdr>
                              <w:divsChild>
                                <w:div w:id="1772431802">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410009762">
      <w:bodyDiv w:val="1"/>
      <w:marLeft w:val="0"/>
      <w:marRight w:val="0"/>
      <w:marTop w:val="0"/>
      <w:marBottom w:val="0"/>
      <w:divBdr>
        <w:top w:val="none" w:sz="0" w:space="0" w:color="auto"/>
        <w:left w:val="none" w:sz="0" w:space="0" w:color="auto"/>
        <w:bottom w:val="none" w:sz="0" w:space="0" w:color="auto"/>
        <w:right w:val="none" w:sz="0" w:space="0" w:color="auto"/>
      </w:divBdr>
      <w:divsChild>
        <w:div w:id="412046272">
          <w:marLeft w:val="0"/>
          <w:marRight w:val="0"/>
          <w:marTop w:val="68"/>
          <w:marBottom w:val="119"/>
          <w:divBdr>
            <w:top w:val="none" w:sz="0" w:space="0" w:color="auto"/>
            <w:left w:val="none" w:sz="0" w:space="0" w:color="auto"/>
            <w:bottom w:val="none" w:sz="0" w:space="0" w:color="auto"/>
            <w:right w:val="none" w:sz="0" w:space="0" w:color="auto"/>
          </w:divBdr>
          <w:divsChild>
            <w:div w:id="400562735">
              <w:marLeft w:val="0"/>
              <w:marRight w:val="0"/>
              <w:marTop w:val="0"/>
              <w:marBottom w:val="0"/>
              <w:divBdr>
                <w:top w:val="none" w:sz="0" w:space="0" w:color="auto"/>
                <w:left w:val="none" w:sz="0" w:space="0" w:color="auto"/>
                <w:bottom w:val="none" w:sz="0" w:space="0" w:color="auto"/>
                <w:right w:val="none" w:sz="0" w:space="0" w:color="auto"/>
              </w:divBdr>
              <w:divsChild>
                <w:div w:id="1899314371">
                  <w:marLeft w:val="0"/>
                  <w:marRight w:val="0"/>
                  <w:marTop w:val="0"/>
                  <w:marBottom w:val="0"/>
                  <w:divBdr>
                    <w:top w:val="none" w:sz="0" w:space="0" w:color="auto"/>
                    <w:left w:val="none" w:sz="0" w:space="0" w:color="auto"/>
                    <w:bottom w:val="none" w:sz="0" w:space="0" w:color="auto"/>
                    <w:right w:val="none" w:sz="0" w:space="0" w:color="auto"/>
                  </w:divBdr>
                  <w:divsChild>
                    <w:div w:id="1784684632">
                      <w:marLeft w:val="0"/>
                      <w:marRight w:val="0"/>
                      <w:marTop w:val="0"/>
                      <w:marBottom w:val="0"/>
                      <w:divBdr>
                        <w:top w:val="none" w:sz="0" w:space="0" w:color="auto"/>
                        <w:left w:val="none" w:sz="0" w:space="0" w:color="auto"/>
                        <w:bottom w:val="none" w:sz="0" w:space="0" w:color="auto"/>
                        <w:right w:val="none" w:sz="0" w:space="0" w:color="auto"/>
                      </w:divBdr>
                      <w:divsChild>
                        <w:div w:id="1058287832">
                          <w:marLeft w:val="0"/>
                          <w:marRight w:val="0"/>
                          <w:marTop w:val="0"/>
                          <w:marBottom w:val="0"/>
                          <w:divBdr>
                            <w:top w:val="none" w:sz="0" w:space="0" w:color="auto"/>
                            <w:left w:val="none" w:sz="0" w:space="0" w:color="auto"/>
                            <w:bottom w:val="none" w:sz="0" w:space="0" w:color="auto"/>
                            <w:right w:val="none" w:sz="0" w:space="0" w:color="auto"/>
                          </w:divBdr>
                          <w:divsChild>
                            <w:div w:id="42410395">
                              <w:marLeft w:val="0"/>
                              <w:marRight w:val="0"/>
                              <w:marTop w:val="0"/>
                              <w:marBottom w:val="0"/>
                              <w:divBdr>
                                <w:top w:val="none" w:sz="0" w:space="0" w:color="auto"/>
                                <w:left w:val="double" w:sz="12" w:space="7" w:color="3B3B3B"/>
                                <w:bottom w:val="double" w:sz="12" w:space="7" w:color="3B3B3B"/>
                                <w:right w:val="double" w:sz="12" w:space="7" w:color="3B3B3B"/>
                              </w:divBdr>
                              <w:divsChild>
                                <w:div w:id="1071460495">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514612405">
      <w:bodyDiv w:val="1"/>
      <w:marLeft w:val="0"/>
      <w:marRight w:val="0"/>
      <w:marTop w:val="0"/>
      <w:marBottom w:val="0"/>
      <w:divBdr>
        <w:top w:val="none" w:sz="0" w:space="0" w:color="auto"/>
        <w:left w:val="none" w:sz="0" w:space="0" w:color="auto"/>
        <w:bottom w:val="none" w:sz="0" w:space="0" w:color="auto"/>
        <w:right w:val="none" w:sz="0" w:space="0" w:color="auto"/>
      </w:divBdr>
      <w:divsChild>
        <w:div w:id="182091349">
          <w:marLeft w:val="0"/>
          <w:marRight w:val="0"/>
          <w:marTop w:val="68"/>
          <w:marBottom w:val="119"/>
          <w:divBdr>
            <w:top w:val="none" w:sz="0" w:space="0" w:color="auto"/>
            <w:left w:val="none" w:sz="0" w:space="0" w:color="auto"/>
            <w:bottom w:val="none" w:sz="0" w:space="0" w:color="auto"/>
            <w:right w:val="none" w:sz="0" w:space="0" w:color="auto"/>
          </w:divBdr>
          <w:divsChild>
            <w:div w:id="870340858">
              <w:marLeft w:val="0"/>
              <w:marRight w:val="0"/>
              <w:marTop w:val="0"/>
              <w:marBottom w:val="0"/>
              <w:divBdr>
                <w:top w:val="none" w:sz="0" w:space="0" w:color="auto"/>
                <w:left w:val="none" w:sz="0" w:space="0" w:color="auto"/>
                <w:bottom w:val="none" w:sz="0" w:space="0" w:color="auto"/>
                <w:right w:val="none" w:sz="0" w:space="0" w:color="auto"/>
              </w:divBdr>
              <w:divsChild>
                <w:div w:id="1726174092">
                  <w:marLeft w:val="0"/>
                  <w:marRight w:val="0"/>
                  <w:marTop w:val="0"/>
                  <w:marBottom w:val="0"/>
                  <w:divBdr>
                    <w:top w:val="none" w:sz="0" w:space="0" w:color="auto"/>
                    <w:left w:val="none" w:sz="0" w:space="0" w:color="auto"/>
                    <w:bottom w:val="none" w:sz="0" w:space="0" w:color="auto"/>
                    <w:right w:val="none" w:sz="0" w:space="0" w:color="auto"/>
                  </w:divBdr>
                  <w:divsChild>
                    <w:div w:id="1117485684">
                      <w:marLeft w:val="0"/>
                      <w:marRight w:val="0"/>
                      <w:marTop w:val="0"/>
                      <w:marBottom w:val="0"/>
                      <w:divBdr>
                        <w:top w:val="none" w:sz="0" w:space="0" w:color="auto"/>
                        <w:left w:val="none" w:sz="0" w:space="0" w:color="auto"/>
                        <w:bottom w:val="none" w:sz="0" w:space="0" w:color="auto"/>
                        <w:right w:val="none" w:sz="0" w:space="0" w:color="auto"/>
                      </w:divBdr>
                      <w:divsChild>
                        <w:div w:id="1868905975">
                          <w:marLeft w:val="0"/>
                          <w:marRight w:val="0"/>
                          <w:marTop w:val="0"/>
                          <w:marBottom w:val="0"/>
                          <w:divBdr>
                            <w:top w:val="none" w:sz="0" w:space="0" w:color="auto"/>
                            <w:left w:val="none" w:sz="0" w:space="0" w:color="auto"/>
                            <w:bottom w:val="none" w:sz="0" w:space="0" w:color="auto"/>
                            <w:right w:val="none" w:sz="0" w:space="0" w:color="auto"/>
                          </w:divBdr>
                          <w:divsChild>
                            <w:div w:id="2047097876">
                              <w:marLeft w:val="0"/>
                              <w:marRight w:val="0"/>
                              <w:marTop w:val="0"/>
                              <w:marBottom w:val="0"/>
                              <w:divBdr>
                                <w:top w:val="none" w:sz="0" w:space="0" w:color="auto"/>
                                <w:left w:val="double" w:sz="12" w:space="7" w:color="3B3B3B"/>
                                <w:bottom w:val="double" w:sz="12" w:space="7" w:color="3B3B3B"/>
                                <w:right w:val="double" w:sz="12" w:space="7" w:color="3B3B3B"/>
                              </w:divBdr>
                              <w:divsChild>
                                <w:div w:id="815800028">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656112268">
      <w:bodyDiv w:val="1"/>
      <w:marLeft w:val="0"/>
      <w:marRight w:val="0"/>
      <w:marTop w:val="0"/>
      <w:marBottom w:val="0"/>
      <w:divBdr>
        <w:top w:val="none" w:sz="0" w:space="0" w:color="auto"/>
        <w:left w:val="none" w:sz="0" w:space="0" w:color="auto"/>
        <w:bottom w:val="none" w:sz="0" w:space="0" w:color="auto"/>
        <w:right w:val="none" w:sz="0" w:space="0" w:color="auto"/>
      </w:divBdr>
      <w:divsChild>
        <w:div w:id="1019939431">
          <w:marLeft w:val="0"/>
          <w:marRight w:val="0"/>
          <w:marTop w:val="68"/>
          <w:marBottom w:val="119"/>
          <w:divBdr>
            <w:top w:val="none" w:sz="0" w:space="0" w:color="auto"/>
            <w:left w:val="none" w:sz="0" w:space="0" w:color="auto"/>
            <w:bottom w:val="none" w:sz="0" w:space="0" w:color="auto"/>
            <w:right w:val="none" w:sz="0" w:space="0" w:color="auto"/>
          </w:divBdr>
          <w:divsChild>
            <w:div w:id="1013650398">
              <w:marLeft w:val="0"/>
              <w:marRight w:val="0"/>
              <w:marTop w:val="0"/>
              <w:marBottom w:val="0"/>
              <w:divBdr>
                <w:top w:val="none" w:sz="0" w:space="0" w:color="auto"/>
                <w:left w:val="none" w:sz="0" w:space="0" w:color="auto"/>
                <w:bottom w:val="none" w:sz="0" w:space="0" w:color="auto"/>
                <w:right w:val="none" w:sz="0" w:space="0" w:color="auto"/>
              </w:divBdr>
              <w:divsChild>
                <w:div w:id="1163206479">
                  <w:marLeft w:val="0"/>
                  <w:marRight w:val="0"/>
                  <w:marTop w:val="0"/>
                  <w:marBottom w:val="0"/>
                  <w:divBdr>
                    <w:top w:val="none" w:sz="0" w:space="0" w:color="auto"/>
                    <w:left w:val="none" w:sz="0" w:space="0" w:color="auto"/>
                    <w:bottom w:val="none" w:sz="0" w:space="0" w:color="auto"/>
                    <w:right w:val="none" w:sz="0" w:space="0" w:color="auto"/>
                  </w:divBdr>
                  <w:divsChild>
                    <w:div w:id="539131708">
                      <w:marLeft w:val="0"/>
                      <w:marRight w:val="0"/>
                      <w:marTop w:val="0"/>
                      <w:marBottom w:val="0"/>
                      <w:divBdr>
                        <w:top w:val="none" w:sz="0" w:space="0" w:color="auto"/>
                        <w:left w:val="none" w:sz="0" w:space="0" w:color="auto"/>
                        <w:bottom w:val="none" w:sz="0" w:space="0" w:color="auto"/>
                        <w:right w:val="none" w:sz="0" w:space="0" w:color="auto"/>
                      </w:divBdr>
                      <w:divsChild>
                        <w:div w:id="2011374769">
                          <w:marLeft w:val="0"/>
                          <w:marRight w:val="0"/>
                          <w:marTop w:val="0"/>
                          <w:marBottom w:val="0"/>
                          <w:divBdr>
                            <w:top w:val="none" w:sz="0" w:space="0" w:color="auto"/>
                            <w:left w:val="none" w:sz="0" w:space="0" w:color="auto"/>
                            <w:bottom w:val="none" w:sz="0" w:space="0" w:color="auto"/>
                            <w:right w:val="none" w:sz="0" w:space="0" w:color="auto"/>
                          </w:divBdr>
                          <w:divsChild>
                            <w:div w:id="1689478788">
                              <w:marLeft w:val="0"/>
                              <w:marRight w:val="0"/>
                              <w:marTop w:val="0"/>
                              <w:marBottom w:val="0"/>
                              <w:divBdr>
                                <w:top w:val="none" w:sz="0" w:space="0" w:color="auto"/>
                                <w:left w:val="double" w:sz="12" w:space="7" w:color="3B3B3B"/>
                                <w:bottom w:val="double" w:sz="12" w:space="7" w:color="3B3B3B"/>
                                <w:right w:val="double" w:sz="12" w:space="7" w:color="3B3B3B"/>
                              </w:divBdr>
                              <w:divsChild>
                                <w:div w:id="759956166">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708644713">
      <w:bodyDiv w:val="1"/>
      <w:marLeft w:val="0"/>
      <w:marRight w:val="0"/>
      <w:marTop w:val="0"/>
      <w:marBottom w:val="0"/>
      <w:divBdr>
        <w:top w:val="none" w:sz="0" w:space="0" w:color="auto"/>
        <w:left w:val="none" w:sz="0" w:space="0" w:color="auto"/>
        <w:bottom w:val="none" w:sz="0" w:space="0" w:color="auto"/>
        <w:right w:val="none" w:sz="0" w:space="0" w:color="auto"/>
      </w:divBdr>
      <w:divsChild>
        <w:div w:id="724984780">
          <w:marLeft w:val="0"/>
          <w:marRight w:val="0"/>
          <w:marTop w:val="68"/>
          <w:marBottom w:val="119"/>
          <w:divBdr>
            <w:top w:val="none" w:sz="0" w:space="0" w:color="auto"/>
            <w:left w:val="none" w:sz="0" w:space="0" w:color="auto"/>
            <w:bottom w:val="none" w:sz="0" w:space="0" w:color="auto"/>
            <w:right w:val="none" w:sz="0" w:space="0" w:color="auto"/>
          </w:divBdr>
          <w:divsChild>
            <w:div w:id="1502625941">
              <w:marLeft w:val="0"/>
              <w:marRight w:val="0"/>
              <w:marTop w:val="0"/>
              <w:marBottom w:val="0"/>
              <w:divBdr>
                <w:top w:val="none" w:sz="0" w:space="0" w:color="auto"/>
                <w:left w:val="none" w:sz="0" w:space="0" w:color="auto"/>
                <w:bottom w:val="none" w:sz="0" w:space="0" w:color="auto"/>
                <w:right w:val="none" w:sz="0" w:space="0" w:color="auto"/>
              </w:divBdr>
              <w:divsChild>
                <w:div w:id="1535923735">
                  <w:marLeft w:val="0"/>
                  <w:marRight w:val="0"/>
                  <w:marTop w:val="0"/>
                  <w:marBottom w:val="0"/>
                  <w:divBdr>
                    <w:top w:val="none" w:sz="0" w:space="0" w:color="auto"/>
                    <w:left w:val="none" w:sz="0" w:space="0" w:color="auto"/>
                    <w:bottom w:val="none" w:sz="0" w:space="0" w:color="auto"/>
                    <w:right w:val="none" w:sz="0" w:space="0" w:color="auto"/>
                  </w:divBdr>
                  <w:divsChild>
                    <w:div w:id="1215966153">
                      <w:marLeft w:val="0"/>
                      <w:marRight w:val="0"/>
                      <w:marTop w:val="0"/>
                      <w:marBottom w:val="0"/>
                      <w:divBdr>
                        <w:top w:val="none" w:sz="0" w:space="0" w:color="auto"/>
                        <w:left w:val="none" w:sz="0" w:space="0" w:color="auto"/>
                        <w:bottom w:val="none" w:sz="0" w:space="0" w:color="auto"/>
                        <w:right w:val="none" w:sz="0" w:space="0" w:color="auto"/>
                      </w:divBdr>
                      <w:divsChild>
                        <w:div w:id="1238631129">
                          <w:marLeft w:val="0"/>
                          <w:marRight w:val="0"/>
                          <w:marTop w:val="0"/>
                          <w:marBottom w:val="0"/>
                          <w:divBdr>
                            <w:top w:val="none" w:sz="0" w:space="0" w:color="auto"/>
                            <w:left w:val="none" w:sz="0" w:space="0" w:color="auto"/>
                            <w:bottom w:val="none" w:sz="0" w:space="0" w:color="auto"/>
                            <w:right w:val="none" w:sz="0" w:space="0" w:color="auto"/>
                          </w:divBdr>
                          <w:divsChild>
                            <w:div w:id="20976089">
                              <w:marLeft w:val="0"/>
                              <w:marRight w:val="0"/>
                              <w:marTop w:val="0"/>
                              <w:marBottom w:val="0"/>
                              <w:divBdr>
                                <w:top w:val="none" w:sz="0" w:space="0" w:color="auto"/>
                                <w:left w:val="double" w:sz="12" w:space="7" w:color="3B3B3B"/>
                                <w:bottom w:val="double" w:sz="12" w:space="7" w:color="3B3B3B"/>
                                <w:right w:val="double" w:sz="12" w:space="7" w:color="3B3B3B"/>
                              </w:divBdr>
                              <w:divsChild>
                                <w:div w:id="2060544014">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761099699">
      <w:bodyDiv w:val="1"/>
      <w:marLeft w:val="0"/>
      <w:marRight w:val="0"/>
      <w:marTop w:val="0"/>
      <w:marBottom w:val="0"/>
      <w:divBdr>
        <w:top w:val="none" w:sz="0" w:space="0" w:color="auto"/>
        <w:left w:val="none" w:sz="0" w:space="0" w:color="auto"/>
        <w:bottom w:val="none" w:sz="0" w:space="0" w:color="auto"/>
        <w:right w:val="none" w:sz="0" w:space="0" w:color="auto"/>
      </w:divBdr>
      <w:divsChild>
        <w:div w:id="817652734">
          <w:marLeft w:val="0"/>
          <w:marRight w:val="0"/>
          <w:marTop w:val="68"/>
          <w:marBottom w:val="119"/>
          <w:divBdr>
            <w:top w:val="none" w:sz="0" w:space="0" w:color="auto"/>
            <w:left w:val="none" w:sz="0" w:space="0" w:color="auto"/>
            <w:bottom w:val="none" w:sz="0" w:space="0" w:color="auto"/>
            <w:right w:val="none" w:sz="0" w:space="0" w:color="auto"/>
          </w:divBdr>
          <w:divsChild>
            <w:div w:id="1313952208">
              <w:marLeft w:val="0"/>
              <w:marRight w:val="0"/>
              <w:marTop w:val="0"/>
              <w:marBottom w:val="0"/>
              <w:divBdr>
                <w:top w:val="none" w:sz="0" w:space="0" w:color="auto"/>
                <w:left w:val="none" w:sz="0" w:space="0" w:color="auto"/>
                <w:bottom w:val="none" w:sz="0" w:space="0" w:color="auto"/>
                <w:right w:val="none" w:sz="0" w:space="0" w:color="auto"/>
              </w:divBdr>
              <w:divsChild>
                <w:div w:id="724062052">
                  <w:marLeft w:val="0"/>
                  <w:marRight w:val="0"/>
                  <w:marTop w:val="0"/>
                  <w:marBottom w:val="0"/>
                  <w:divBdr>
                    <w:top w:val="none" w:sz="0" w:space="0" w:color="auto"/>
                    <w:left w:val="none" w:sz="0" w:space="0" w:color="auto"/>
                    <w:bottom w:val="none" w:sz="0" w:space="0" w:color="auto"/>
                    <w:right w:val="none" w:sz="0" w:space="0" w:color="auto"/>
                  </w:divBdr>
                  <w:divsChild>
                    <w:div w:id="1436562984">
                      <w:marLeft w:val="0"/>
                      <w:marRight w:val="0"/>
                      <w:marTop w:val="0"/>
                      <w:marBottom w:val="0"/>
                      <w:divBdr>
                        <w:top w:val="none" w:sz="0" w:space="0" w:color="auto"/>
                        <w:left w:val="none" w:sz="0" w:space="0" w:color="auto"/>
                        <w:bottom w:val="none" w:sz="0" w:space="0" w:color="auto"/>
                        <w:right w:val="none" w:sz="0" w:space="0" w:color="auto"/>
                      </w:divBdr>
                      <w:divsChild>
                        <w:div w:id="1759785159">
                          <w:marLeft w:val="0"/>
                          <w:marRight w:val="0"/>
                          <w:marTop w:val="0"/>
                          <w:marBottom w:val="0"/>
                          <w:divBdr>
                            <w:top w:val="none" w:sz="0" w:space="0" w:color="auto"/>
                            <w:left w:val="none" w:sz="0" w:space="0" w:color="auto"/>
                            <w:bottom w:val="none" w:sz="0" w:space="0" w:color="auto"/>
                            <w:right w:val="none" w:sz="0" w:space="0" w:color="auto"/>
                          </w:divBdr>
                          <w:divsChild>
                            <w:div w:id="1732381926">
                              <w:marLeft w:val="0"/>
                              <w:marRight w:val="0"/>
                              <w:marTop w:val="0"/>
                              <w:marBottom w:val="0"/>
                              <w:divBdr>
                                <w:top w:val="none" w:sz="0" w:space="0" w:color="auto"/>
                                <w:left w:val="double" w:sz="12" w:space="7" w:color="3B3B3B"/>
                                <w:bottom w:val="double" w:sz="12" w:space="7" w:color="3B3B3B"/>
                                <w:right w:val="double" w:sz="12" w:space="7" w:color="3B3B3B"/>
                              </w:divBdr>
                              <w:divsChild>
                                <w:div w:id="1250231245">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773596710">
      <w:bodyDiv w:val="1"/>
      <w:marLeft w:val="0"/>
      <w:marRight w:val="0"/>
      <w:marTop w:val="0"/>
      <w:marBottom w:val="0"/>
      <w:divBdr>
        <w:top w:val="none" w:sz="0" w:space="0" w:color="auto"/>
        <w:left w:val="none" w:sz="0" w:space="0" w:color="auto"/>
        <w:bottom w:val="none" w:sz="0" w:space="0" w:color="auto"/>
        <w:right w:val="none" w:sz="0" w:space="0" w:color="auto"/>
      </w:divBdr>
      <w:divsChild>
        <w:div w:id="1070884739">
          <w:marLeft w:val="0"/>
          <w:marRight w:val="0"/>
          <w:marTop w:val="68"/>
          <w:marBottom w:val="119"/>
          <w:divBdr>
            <w:top w:val="none" w:sz="0" w:space="0" w:color="auto"/>
            <w:left w:val="none" w:sz="0" w:space="0" w:color="auto"/>
            <w:bottom w:val="none" w:sz="0" w:space="0" w:color="auto"/>
            <w:right w:val="none" w:sz="0" w:space="0" w:color="auto"/>
          </w:divBdr>
          <w:divsChild>
            <w:div w:id="515191746">
              <w:marLeft w:val="0"/>
              <w:marRight w:val="0"/>
              <w:marTop w:val="0"/>
              <w:marBottom w:val="0"/>
              <w:divBdr>
                <w:top w:val="none" w:sz="0" w:space="0" w:color="auto"/>
                <w:left w:val="none" w:sz="0" w:space="0" w:color="auto"/>
                <w:bottom w:val="none" w:sz="0" w:space="0" w:color="auto"/>
                <w:right w:val="none" w:sz="0" w:space="0" w:color="auto"/>
              </w:divBdr>
              <w:divsChild>
                <w:div w:id="272178105">
                  <w:marLeft w:val="0"/>
                  <w:marRight w:val="0"/>
                  <w:marTop w:val="0"/>
                  <w:marBottom w:val="0"/>
                  <w:divBdr>
                    <w:top w:val="none" w:sz="0" w:space="0" w:color="auto"/>
                    <w:left w:val="none" w:sz="0" w:space="0" w:color="auto"/>
                    <w:bottom w:val="none" w:sz="0" w:space="0" w:color="auto"/>
                    <w:right w:val="none" w:sz="0" w:space="0" w:color="auto"/>
                  </w:divBdr>
                  <w:divsChild>
                    <w:div w:id="1158227858">
                      <w:marLeft w:val="0"/>
                      <w:marRight w:val="0"/>
                      <w:marTop w:val="0"/>
                      <w:marBottom w:val="0"/>
                      <w:divBdr>
                        <w:top w:val="none" w:sz="0" w:space="0" w:color="auto"/>
                        <w:left w:val="none" w:sz="0" w:space="0" w:color="auto"/>
                        <w:bottom w:val="none" w:sz="0" w:space="0" w:color="auto"/>
                        <w:right w:val="none" w:sz="0" w:space="0" w:color="auto"/>
                      </w:divBdr>
                      <w:divsChild>
                        <w:div w:id="571543208">
                          <w:marLeft w:val="0"/>
                          <w:marRight w:val="0"/>
                          <w:marTop w:val="0"/>
                          <w:marBottom w:val="0"/>
                          <w:divBdr>
                            <w:top w:val="none" w:sz="0" w:space="0" w:color="auto"/>
                            <w:left w:val="none" w:sz="0" w:space="0" w:color="auto"/>
                            <w:bottom w:val="none" w:sz="0" w:space="0" w:color="auto"/>
                            <w:right w:val="none" w:sz="0" w:space="0" w:color="auto"/>
                          </w:divBdr>
                          <w:divsChild>
                            <w:div w:id="1431968557">
                              <w:marLeft w:val="0"/>
                              <w:marRight w:val="0"/>
                              <w:marTop w:val="0"/>
                              <w:marBottom w:val="0"/>
                              <w:divBdr>
                                <w:top w:val="none" w:sz="0" w:space="0" w:color="auto"/>
                                <w:left w:val="double" w:sz="12" w:space="7" w:color="3B3B3B"/>
                                <w:bottom w:val="double" w:sz="12" w:space="7" w:color="3B3B3B"/>
                                <w:right w:val="double" w:sz="12" w:space="7" w:color="3B3B3B"/>
                              </w:divBdr>
                              <w:divsChild>
                                <w:div w:id="508175084">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868614437">
      <w:bodyDiv w:val="1"/>
      <w:marLeft w:val="0"/>
      <w:marRight w:val="0"/>
      <w:marTop w:val="0"/>
      <w:marBottom w:val="0"/>
      <w:divBdr>
        <w:top w:val="none" w:sz="0" w:space="0" w:color="auto"/>
        <w:left w:val="none" w:sz="0" w:space="0" w:color="auto"/>
        <w:bottom w:val="none" w:sz="0" w:space="0" w:color="auto"/>
        <w:right w:val="none" w:sz="0" w:space="0" w:color="auto"/>
      </w:divBdr>
      <w:divsChild>
        <w:div w:id="1112165416">
          <w:marLeft w:val="0"/>
          <w:marRight w:val="0"/>
          <w:marTop w:val="68"/>
          <w:marBottom w:val="119"/>
          <w:divBdr>
            <w:top w:val="none" w:sz="0" w:space="0" w:color="auto"/>
            <w:left w:val="none" w:sz="0" w:space="0" w:color="auto"/>
            <w:bottom w:val="none" w:sz="0" w:space="0" w:color="auto"/>
            <w:right w:val="none" w:sz="0" w:space="0" w:color="auto"/>
          </w:divBdr>
          <w:divsChild>
            <w:div w:id="1608780702">
              <w:marLeft w:val="0"/>
              <w:marRight w:val="0"/>
              <w:marTop w:val="0"/>
              <w:marBottom w:val="0"/>
              <w:divBdr>
                <w:top w:val="none" w:sz="0" w:space="0" w:color="auto"/>
                <w:left w:val="none" w:sz="0" w:space="0" w:color="auto"/>
                <w:bottom w:val="none" w:sz="0" w:space="0" w:color="auto"/>
                <w:right w:val="none" w:sz="0" w:space="0" w:color="auto"/>
              </w:divBdr>
              <w:divsChild>
                <w:div w:id="2035306177">
                  <w:marLeft w:val="0"/>
                  <w:marRight w:val="0"/>
                  <w:marTop w:val="0"/>
                  <w:marBottom w:val="0"/>
                  <w:divBdr>
                    <w:top w:val="none" w:sz="0" w:space="0" w:color="auto"/>
                    <w:left w:val="none" w:sz="0" w:space="0" w:color="auto"/>
                    <w:bottom w:val="none" w:sz="0" w:space="0" w:color="auto"/>
                    <w:right w:val="none" w:sz="0" w:space="0" w:color="auto"/>
                  </w:divBdr>
                  <w:divsChild>
                    <w:div w:id="189145687">
                      <w:marLeft w:val="0"/>
                      <w:marRight w:val="0"/>
                      <w:marTop w:val="0"/>
                      <w:marBottom w:val="0"/>
                      <w:divBdr>
                        <w:top w:val="none" w:sz="0" w:space="0" w:color="auto"/>
                        <w:left w:val="none" w:sz="0" w:space="0" w:color="auto"/>
                        <w:bottom w:val="none" w:sz="0" w:space="0" w:color="auto"/>
                        <w:right w:val="none" w:sz="0" w:space="0" w:color="auto"/>
                      </w:divBdr>
                      <w:divsChild>
                        <w:div w:id="300502932">
                          <w:marLeft w:val="0"/>
                          <w:marRight w:val="0"/>
                          <w:marTop w:val="0"/>
                          <w:marBottom w:val="0"/>
                          <w:divBdr>
                            <w:top w:val="none" w:sz="0" w:space="0" w:color="auto"/>
                            <w:left w:val="none" w:sz="0" w:space="0" w:color="auto"/>
                            <w:bottom w:val="none" w:sz="0" w:space="0" w:color="auto"/>
                            <w:right w:val="none" w:sz="0" w:space="0" w:color="auto"/>
                          </w:divBdr>
                          <w:divsChild>
                            <w:div w:id="975522545">
                              <w:marLeft w:val="0"/>
                              <w:marRight w:val="0"/>
                              <w:marTop w:val="0"/>
                              <w:marBottom w:val="0"/>
                              <w:divBdr>
                                <w:top w:val="none" w:sz="0" w:space="0" w:color="auto"/>
                                <w:left w:val="double" w:sz="12" w:space="7" w:color="3B3B3B"/>
                                <w:bottom w:val="double" w:sz="12" w:space="7" w:color="3B3B3B"/>
                                <w:right w:val="double" w:sz="12" w:space="7" w:color="3B3B3B"/>
                              </w:divBdr>
                              <w:divsChild>
                                <w:div w:id="560483425">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1074550894">
      <w:bodyDiv w:val="1"/>
      <w:marLeft w:val="0"/>
      <w:marRight w:val="0"/>
      <w:marTop w:val="0"/>
      <w:marBottom w:val="0"/>
      <w:divBdr>
        <w:top w:val="none" w:sz="0" w:space="0" w:color="auto"/>
        <w:left w:val="none" w:sz="0" w:space="0" w:color="auto"/>
        <w:bottom w:val="none" w:sz="0" w:space="0" w:color="auto"/>
        <w:right w:val="none" w:sz="0" w:space="0" w:color="auto"/>
      </w:divBdr>
      <w:divsChild>
        <w:div w:id="1093820421">
          <w:marLeft w:val="0"/>
          <w:marRight w:val="0"/>
          <w:marTop w:val="68"/>
          <w:marBottom w:val="119"/>
          <w:divBdr>
            <w:top w:val="none" w:sz="0" w:space="0" w:color="auto"/>
            <w:left w:val="none" w:sz="0" w:space="0" w:color="auto"/>
            <w:bottom w:val="none" w:sz="0" w:space="0" w:color="auto"/>
            <w:right w:val="none" w:sz="0" w:space="0" w:color="auto"/>
          </w:divBdr>
          <w:divsChild>
            <w:div w:id="1665158825">
              <w:marLeft w:val="0"/>
              <w:marRight w:val="0"/>
              <w:marTop w:val="0"/>
              <w:marBottom w:val="0"/>
              <w:divBdr>
                <w:top w:val="none" w:sz="0" w:space="0" w:color="auto"/>
                <w:left w:val="none" w:sz="0" w:space="0" w:color="auto"/>
                <w:bottom w:val="none" w:sz="0" w:space="0" w:color="auto"/>
                <w:right w:val="none" w:sz="0" w:space="0" w:color="auto"/>
              </w:divBdr>
              <w:divsChild>
                <w:div w:id="428547827">
                  <w:marLeft w:val="0"/>
                  <w:marRight w:val="0"/>
                  <w:marTop w:val="0"/>
                  <w:marBottom w:val="0"/>
                  <w:divBdr>
                    <w:top w:val="none" w:sz="0" w:space="0" w:color="auto"/>
                    <w:left w:val="none" w:sz="0" w:space="0" w:color="auto"/>
                    <w:bottom w:val="none" w:sz="0" w:space="0" w:color="auto"/>
                    <w:right w:val="none" w:sz="0" w:space="0" w:color="auto"/>
                  </w:divBdr>
                  <w:divsChild>
                    <w:div w:id="1634216713">
                      <w:marLeft w:val="0"/>
                      <w:marRight w:val="0"/>
                      <w:marTop w:val="0"/>
                      <w:marBottom w:val="0"/>
                      <w:divBdr>
                        <w:top w:val="none" w:sz="0" w:space="0" w:color="auto"/>
                        <w:left w:val="none" w:sz="0" w:space="0" w:color="auto"/>
                        <w:bottom w:val="none" w:sz="0" w:space="0" w:color="auto"/>
                        <w:right w:val="none" w:sz="0" w:space="0" w:color="auto"/>
                      </w:divBdr>
                      <w:divsChild>
                        <w:div w:id="571894654">
                          <w:marLeft w:val="0"/>
                          <w:marRight w:val="0"/>
                          <w:marTop w:val="0"/>
                          <w:marBottom w:val="0"/>
                          <w:divBdr>
                            <w:top w:val="none" w:sz="0" w:space="0" w:color="auto"/>
                            <w:left w:val="none" w:sz="0" w:space="0" w:color="auto"/>
                            <w:bottom w:val="none" w:sz="0" w:space="0" w:color="auto"/>
                            <w:right w:val="none" w:sz="0" w:space="0" w:color="auto"/>
                          </w:divBdr>
                          <w:divsChild>
                            <w:div w:id="776947351">
                              <w:marLeft w:val="0"/>
                              <w:marRight w:val="0"/>
                              <w:marTop w:val="0"/>
                              <w:marBottom w:val="0"/>
                              <w:divBdr>
                                <w:top w:val="none" w:sz="0" w:space="0" w:color="auto"/>
                                <w:left w:val="double" w:sz="12" w:space="7" w:color="3B3B3B"/>
                                <w:bottom w:val="double" w:sz="12" w:space="7" w:color="3B3B3B"/>
                                <w:right w:val="double" w:sz="12" w:space="7" w:color="3B3B3B"/>
                              </w:divBdr>
                              <w:divsChild>
                                <w:div w:id="1477642749">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1158576082">
      <w:bodyDiv w:val="1"/>
      <w:marLeft w:val="0"/>
      <w:marRight w:val="0"/>
      <w:marTop w:val="0"/>
      <w:marBottom w:val="0"/>
      <w:divBdr>
        <w:top w:val="none" w:sz="0" w:space="0" w:color="auto"/>
        <w:left w:val="none" w:sz="0" w:space="0" w:color="auto"/>
        <w:bottom w:val="none" w:sz="0" w:space="0" w:color="auto"/>
        <w:right w:val="none" w:sz="0" w:space="0" w:color="auto"/>
      </w:divBdr>
      <w:divsChild>
        <w:div w:id="1621107966">
          <w:marLeft w:val="0"/>
          <w:marRight w:val="0"/>
          <w:marTop w:val="68"/>
          <w:marBottom w:val="119"/>
          <w:divBdr>
            <w:top w:val="none" w:sz="0" w:space="0" w:color="auto"/>
            <w:left w:val="none" w:sz="0" w:space="0" w:color="auto"/>
            <w:bottom w:val="none" w:sz="0" w:space="0" w:color="auto"/>
            <w:right w:val="none" w:sz="0" w:space="0" w:color="auto"/>
          </w:divBdr>
          <w:divsChild>
            <w:div w:id="1953828874">
              <w:marLeft w:val="0"/>
              <w:marRight w:val="0"/>
              <w:marTop w:val="0"/>
              <w:marBottom w:val="0"/>
              <w:divBdr>
                <w:top w:val="none" w:sz="0" w:space="0" w:color="auto"/>
                <w:left w:val="none" w:sz="0" w:space="0" w:color="auto"/>
                <w:bottom w:val="none" w:sz="0" w:space="0" w:color="auto"/>
                <w:right w:val="none" w:sz="0" w:space="0" w:color="auto"/>
              </w:divBdr>
              <w:divsChild>
                <w:div w:id="1462262043">
                  <w:marLeft w:val="0"/>
                  <w:marRight w:val="0"/>
                  <w:marTop w:val="0"/>
                  <w:marBottom w:val="0"/>
                  <w:divBdr>
                    <w:top w:val="none" w:sz="0" w:space="0" w:color="auto"/>
                    <w:left w:val="none" w:sz="0" w:space="0" w:color="auto"/>
                    <w:bottom w:val="none" w:sz="0" w:space="0" w:color="auto"/>
                    <w:right w:val="none" w:sz="0" w:space="0" w:color="auto"/>
                  </w:divBdr>
                  <w:divsChild>
                    <w:div w:id="1508402899">
                      <w:marLeft w:val="0"/>
                      <w:marRight w:val="0"/>
                      <w:marTop w:val="0"/>
                      <w:marBottom w:val="0"/>
                      <w:divBdr>
                        <w:top w:val="none" w:sz="0" w:space="0" w:color="auto"/>
                        <w:left w:val="none" w:sz="0" w:space="0" w:color="auto"/>
                        <w:bottom w:val="none" w:sz="0" w:space="0" w:color="auto"/>
                        <w:right w:val="none" w:sz="0" w:space="0" w:color="auto"/>
                      </w:divBdr>
                      <w:divsChild>
                        <w:div w:id="2097051835">
                          <w:marLeft w:val="0"/>
                          <w:marRight w:val="0"/>
                          <w:marTop w:val="0"/>
                          <w:marBottom w:val="0"/>
                          <w:divBdr>
                            <w:top w:val="none" w:sz="0" w:space="0" w:color="auto"/>
                            <w:left w:val="none" w:sz="0" w:space="0" w:color="auto"/>
                            <w:bottom w:val="none" w:sz="0" w:space="0" w:color="auto"/>
                            <w:right w:val="none" w:sz="0" w:space="0" w:color="auto"/>
                          </w:divBdr>
                          <w:divsChild>
                            <w:div w:id="401292385">
                              <w:marLeft w:val="0"/>
                              <w:marRight w:val="0"/>
                              <w:marTop w:val="0"/>
                              <w:marBottom w:val="0"/>
                              <w:divBdr>
                                <w:top w:val="none" w:sz="0" w:space="0" w:color="auto"/>
                                <w:left w:val="double" w:sz="12" w:space="7" w:color="3B3B3B"/>
                                <w:bottom w:val="double" w:sz="12" w:space="7" w:color="3B3B3B"/>
                                <w:right w:val="double" w:sz="12" w:space="7" w:color="3B3B3B"/>
                              </w:divBdr>
                              <w:divsChild>
                                <w:div w:id="1584802589">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1202860833">
      <w:bodyDiv w:val="1"/>
      <w:marLeft w:val="0"/>
      <w:marRight w:val="0"/>
      <w:marTop w:val="0"/>
      <w:marBottom w:val="0"/>
      <w:divBdr>
        <w:top w:val="none" w:sz="0" w:space="0" w:color="auto"/>
        <w:left w:val="none" w:sz="0" w:space="0" w:color="auto"/>
        <w:bottom w:val="none" w:sz="0" w:space="0" w:color="auto"/>
        <w:right w:val="none" w:sz="0" w:space="0" w:color="auto"/>
      </w:divBdr>
      <w:divsChild>
        <w:div w:id="799493484">
          <w:marLeft w:val="0"/>
          <w:marRight w:val="0"/>
          <w:marTop w:val="68"/>
          <w:marBottom w:val="119"/>
          <w:divBdr>
            <w:top w:val="none" w:sz="0" w:space="0" w:color="auto"/>
            <w:left w:val="none" w:sz="0" w:space="0" w:color="auto"/>
            <w:bottom w:val="none" w:sz="0" w:space="0" w:color="auto"/>
            <w:right w:val="none" w:sz="0" w:space="0" w:color="auto"/>
          </w:divBdr>
          <w:divsChild>
            <w:div w:id="930894735">
              <w:marLeft w:val="0"/>
              <w:marRight w:val="0"/>
              <w:marTop w:val="0"/>
              <w:marBottom w:val="0"/>
              <w:divBdr>
                <w:top w:val="none" w:sz="0" w:space="0" w:color="auto"/>
                <w:left w:val="none" w:sz="0" w:space="0" w:color="auto"/>
                <w:bottom w:val="none" w:sz="0" w:space="0" w:color="auto"/>
                <w:right w:val="none" w:sz="0" w:space="0" w:color="auto"/>
              </w:divBdr>
              <w:divsChild>
                <w:div w:id="1629821341">
                  <w:marLeft w:val="0"/>
                  <w:marRight w:val="0"/>
                  <w:marTop w:val="0"/>
                  <w:marBottom w:val="0"/>
                  <w:divBdr>
                    <w:top w:val="none" w:sz="0" w:space="0" w:color="auto"/>
                    <w:left w:val="none" w:sz="0" w:space="0" w:color="auto"/>
                    <w:bottom w:val="none" w:sz="0" w:space="0" w:color="auto"/>
                    <w:right w:val="none" w:sz="0" w:space="0" w:color="auto"/>
                  </w:divBdr>
                  <w:divsChild>
                    <w:div w:id="804657630">
                      <w:marLeft w:val="0"/>
                      <w:marRight w:val="0"/>
                      <w:marTop w:val="0"/>
                      <w:marBottom w:val="0"/>
                      <w:divBdr>
                        <w:top w:val="none" w:sz="0" w:space="0" w:color="auto"/>
                        <w:left w:val="none" w:sz="0" w:space="0" w:color="auto"/>
                        <w:bottom w:val="none" w:sz="0" w:space="0" w:color="auto"/>
                        <w:right w:val="none" w:sz="0" w:space="0" w:color="auto"/>
                      </w:divBdr>
                      <w:divsChild>
                        <w:div w:id="662049124">
                          <w:marLeft w:val="0"/>
                          <w:marRight w:val="0"/>
                          <w:marTop w:val="0"/>
                          <w:marBottom w:val="0"/>
                          <w:divBdr>
                            <w:top w:val="none" w:sz="0" w:space="0" w:color="auto"/>
                            <w:left w:val="none" w:sz="0" w:space="0" w:color="auto"/>
                            <w:bottom w:val="none" w:sz="0" w:space="0" w:color="auto"/>
                            <w:right w:val="none" w:sz="0" w:space="0" w:color="auto"/>
                          </w:divBdr>
                          <w:divsChild>
                            <w:div w:id="1750224035">
                              <w:marLeft w:val="0"/>
                              <w:marRight w:val="0"/>
                              <w:marTop w:val="0"/>
                              <w:marBottom w:val="0"/>
                              <w:divBdr>
                                <w:top w:val="none" w:sz="0" w:space="0" w:color="auto"/>
                                <w:left w:val="double" w:sz="12" w:space="7" w:color="3B3B3B"/>
                                <w:bottom w:val="double" w:sz="12" w:space="7" w:color="3B3B3B"/>
                                <w:right w:val="double" w:sz="12" w:space="7" w:color="3B3B3B"/>
                              </w:divBdr>
                              <w:divsChild>
                                <w:div w:id="1848203633">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1207336227">
      <w:bodyDiv w:val="1"/>
      <w:marLeft w:val="0"/>
      <w:marRight w:val="0"/>
      <w:marTop w:val="0"/>
      <w:marBottom w:val="0"/>
      <w:divBdr>
        <w:top w:val="none" w:sz="0" w:space="0" w:color="auto"/>
        <w:left w:val="none" w:sz="0" w:space="0" w:color="auto"/>
        <w:bottom w:val="none" w:sz="0" w:space="0" w:color="auto"/>
        <w:right w:val="none" w:sz="0" w:space="0" w:color="auto"/>
      </w:divBdr>
      <w:divsChild>
        <w:div w:id="1085490513">
          <w:marLeft w:val="0"/>
          <w:marRight w:val="0"/>
          <w:marTop w:val="68"/>
          <w:marBottom w:val="119"/>
          <w:divBdr>
            <w:top w:val="none" w:sz="0" w:space="0" w:color="auto"/>
            <w:left w:val="none" w:sz="0" w:space="0" w:color="auto"/>
            <w:bottom w:val="none" w:sz="0" w:space="0" w:color="auto"/>
            <w:right w:val="none" w:sz="0" w:space="0" w:color="auto"/>
          </w:divBdr>
          <w:divsChild>
            <w:div w:id="1628925004">
              <w:marLeft w:val="0"/>
              <w:marRight w:val="0"/>
              <w:marTop w:val="0"/>
              <w:marBottom w:val="0"/>
              <w:divBdr>
                <w:top w:val="none" w:sz="0" w:space="0" w:color="auto"/>
                <w:left w:val="none" w:sz="0" w:space="0" w:color="auto"/>
                <w:bottom w:val="none" w:sz="0" w:space="0" w:color="auto"/>
                <w:right w:val="none" w:sz="0" w:space="0" w:color="auto"/>
              </w:divBdr>
              <w:divsChild>
                <w:div w:id="1661304767">
                  <w:marLeft w:val="0"/>
                  <w:marRight w:val="0"/>
                  <w:marTop w:val="0"/>
                  <w:marBottom w:val="0"/>
                  <w:divBdr>
                    <w:top w:val="none" w:sz="0" w:space="0" w:color="auto"/>
                    <w:left w:val="none" w:sz="0" w:space="0" w:color="auto"/>
                    <w:bottom w:val="none" w:sz="0" w:space="0" w:color="auto"/>
                    <w:right w:val="none" w:sz="0" w:space="0" w:color="auto"/>
                  </w:divBdr>
                  <w:divsChild>
                    <w:div w:id="146825238">
                      <w:marLeft w:val="0"/>
                      <w:marRight w:val="0"/>
                      <w:marTop w:val="0"/>
                      <w:marBottom w:val="0"/>
                      <w:divBdr>
                        <w:top w:val="none" w:sz="0" w:space="0" w:color="auto"/>
                        <w:left w:val="none" w:sz="0" w:space="0" w:color="auto"/>
                        <w:bottom w:val="none" w:sz="0" w:space="0" w:color="auto"/>
                        <w:right w:val="none" w:sz="0" w:space="0" w:color="auto"/>
                      </w:divBdr>
                      <w:divsChild>
                        <w:div w:id="819274474">
                          <w:marLeft w:val="0"/>
                          <w:marRight w:val="0"/>
                          <w:marTop w:val="0"/>
                          <w:marBottom w:val="0"/>
                          <w:divBdr>
                            <w:top w:val="none" w:sz="0" w:space="0" w:color="auto"/>
                            <w:left w:val="none" w:sz="0" w:space="0" w:color="auto"/>
                            <w:bottom w:val="none" w:sz="0" w:space="0" w:color="auto"/>
                            <w:right w:val="none" w:sz="0" w:space="0" w:color="auto"/>
                          </w:divBdr>
                          <w:divsChild>
                            <w:div w:id="987830061">
                              <w:marLeft w:val="0"/>
                              <w:marRight w:val="0"/>
                              <w:marTop w:val="0"/>
                              <w:marBottom w:val="0"/>
                              <w:divBdr>
                                <w:top w:val="none" w:sz="0" w:space="0" w:color="auto"/>
                                <w:left w:val="double" w:sz="12" w:space="7" w:color="3B3B3B"/>
                                <w:bottom w:val="double" w:sz="12" w:space="7" w:color="3B3B3B"/>
                                <w:right w:val="double" w:sz="12" w:space="7" w:color="3B3B3B"/>
                              </w:divBdr>
                              <w:divsChild>
                                <w:div w:id="1448353392">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1213151271">
      <w:bodyDiv w:val="1"/>
      <w:marLeft w:val="0"/>
      <w:marRight w:val="0"/>
      <w:marTop w:val="0"/>
      <w:marBottom w:val="0"/>
      <w:divBdr>
        <w:top w:val="none" w:sz="0" w:space="0" w:color="auto"/>
        <w:left w:val="none" w:sz="0" w:space="0" w:color="auto"/>
        <w:bottom w:val="none" w:sz="0" w:space="0" w:color="auto"/>
        <w:right w:val="none" w:sz="0" w:space="0" w:color="auto"/>
      </w:divBdr>
      <w:divsChild>
        <w:div w:id="1326587478">
          <w:marLeft w:val="0"/>
          <w:marRight w:val="0"/>
          <w:marTop w:val="68"/>
          <w:marBottom w:val="119"/>
          <w:divBdr>
            <w:top w:val="none" w:sz="0" w:space="0" w:color="auto"/>
            <w:left w:val="none" w:sz="0" w:space="0" w:color="auto"/>
            <w:bottom w:val="none" w:sz="0" w:space="0" w:color="auto"/>
            <w:right w:val="none" w:sz="0" w:space="0" w:color="auto"/>
          </w:divBdr>
          <w:divsChild>
            <w:div w:id="186914619">
              <w:marLeft w:val="0"/>
              <w:marRight w:val="0"/>
              <w:marTop w:val="0"/>
              <w:marBottom w:val="0"/>
              <w:divBdr>
                <w:top w:val="none" w:sz="0" w:space="0" w:color="auto"/>
                <w:left w:val="none" w:sz="0" w:space="0" w:color="auto"/>
                <w:bottom w:val="none" w:sz="0" w:space="0" w:color="auto"/>
                <w:right w:val="none" w:sz="0" w:space="0" w:color="auto"/>
              </w:divBdr>
              <w:divsChild>
                <w:div w:id="1299452005">
                  <w:marLeft w:val="0"/>
                  <w:marRight w:val="0"/>
                  <w:marTop w:val="0"/>
                  <w:marBottom w:val="0"/>
                  <w:divBdr>
                    <w:top w:val="none" w:sz="0" w:space="0" w:color="auto"/>
                    <w:left w:val="none" w:sz="0" w:space="0" w:color="auto"/>
                    <w:bottom w:val="none" w:sz="0" w:space="0" w:color="auto"/>
                    <w:right w:val="none" w:sz="0" w:space="0" w:color="auto"/>
                  </w:divBdr>
                  <w:divsChild>
                    <w:div w:id="1536961955">
                      <w:marLeft w:val="0"/>
                      <w:marRight w:val="0"/>
                      <w:marTop w:val="0"/>
                      <w:marBottom w:val="0"/>
                      <w:divBdr>
                        <w:top w:val="none" w:sz="0" w:space="0" w:color="auto"/>
                        <w:left w:val="none" w:sz="0" w:space="0" w:color="auto"/>
                        <w:bottom w:val="none" w:sz="0" w:space="0" w:color="auto"/>
                        <w:right w:val="none" w:sz="0" w:space="0" w:color="auto"/>
                      </w:divBdr>
                      <w:divsChild>
                        <w:div w:id="1956865147">
                          <w:marLeft w:val="0"/>
                          <w:marRight w:val="0"/>
                          <w:marTop w:val="0"/>
                          <w:marBottom w:val="0"/>
                          <w:divBdr>
                            <w:top w:val="none" w:sz="0" w:space="0" w:color="auto"/>
                            <w:left w:val="none" w:sz="0" w:space="0" w:color="auto"/>
                            <w:bottom w:val="none" w:sz="0" w:space="0" w:color="auto"/>
                            <w:right w:val="none" w:sz="0" w:space="0" w:color="auto"/>
                          </w:divBdr>
                          <w:divsChild>
                            <w:div w:id="624386024">
                              <w:marLeft w:val="0"/>
                              <w:marRight w:val="0"/>
                              <w:marTop w:val="0"/>
                              <w:marBottom w:val="0"/>
                              <w:divBdr>
                                <w:top w:val="none" w:sz="0" w:space="0" w:color="auto"/>
                                <w:left w:val="double" w:sz="12" w:space="7" w:color="3B3B3B"/>
                                <w:bottom w:val="double" w:sz="12" w:space="7" w:color="3B3B3B"/>
                                <w:right w:val="double" w:sz="12" w:space="7" w:color="3B3B3B"/>
                              </w:divBdr>
                              <w:divsChild>
                                <w:div w:id="599527106">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1534148347">
      <w:bodyDiv w:val="1"/>
      <w:marLeft w:val="0"/>
      <w:marRight w:val="0"/>
      <w:marTop w:val="0"/>
      <w:marBottom w:val="0"/>
      <w:divBdr>
        <w:top w:val="none" w:sz="0" w:space="0" w:color="auto"/>
        <w:left w:val="none" w:sz="0" w:space="0" w:color="auto"/>
        <w:bottom w:val="none" w:sz="0" w:space="0" w:color="auto"/>
        <w:right w:val="none" w:sz="0" w:space="0" w:color="auto"/>
      </w:divBdr>
      <w:divsChild>
        <w:div w:id="1733305619">
          <w:marLeft w:val="0"/>
          <w:marRight w:val="0"/>
          <w:marTop w:val="68"/>
          <w:marBottom w:val="119"/>
          <w:divBdr>
            <w:top w:val="none" w:sz="0" w:space="0" w:color="auto"/>
            <w:left w:val="none" w:sz="0" w:space="0" w:color="auto"/>
            <w:bottom w:val="none" w:sz="0" w:space="0" w:color="auto"/>
            <w:right w:val="none" w:sz="0" w:space="0" w:color="auto"/>
          </w:divBdr>
          <w:divsChild>
            <w:div w:id="1626232814">
              <w:marLeft w:val="0"/>
              <w:marRight w:val="0"/>
              <w:marTop w:val="0"/>
              <w:marBottom w:val="0"/>
              <w:divBdr>
                <w:top w:val="none" w:sz="0" w:space="0" w:color="auto"/>
                <w:left w:val="none" w:sz="0" w:space="0" w:color="auto"/>
                <w:bottom w:val="none" w:sz="0" w:space="0" w:color="auto"/>
                <w:right w:val="none" w:sz="0" w:space="0" w:color="auto"/>
              </w:divBdr>
              <w:divsChild>
                <w:div w:id="983004961">
                  <w:marLeft w:val="0"/>
                  <w:marRight w:val="0"/>
                  <w:marTop w:val="0"/>
                  <w:marBottom w:val="0"/>
                  <w:divBdr>
                    <w:top w:val="none" w:sz="0" w:space="0" w:color="auto"/>
                    <w:left w:val="none" w:sz="0" w:space="0" w:color="auto"/>
                    <w:bottom w:val="none" w:sz="0" w:space="0" w:color="auto"/>
                    <w:right w:val="none" w:sz="0" w:space="0" w:color="auto"/>
                  </w:divBdr>
                  <w:divsChild>
                    <w:div w:id="1878883565">
                      <w:marLeft w:val="0"/>
                      <w:marRight w:val="0"/>
                      <w:marTop w:val="0"/>
                      <w:marBottom w:val="0"/>
                      <w:divBdr>
                        <w:top w:val="none" w:sz="0" w:space="0" w:color="auto"/>
                        <w:left w:val="none" w:sz="0" w:space="0" w:color="auto"/>
                        <w:bottom w:val="none" w:sz="0" w:space="0" w:color="auto"/>
                        <w:right w:val="none" w:sz="0" w:space="0" w:color="auto"/>
                      </w:divBdr>
                      <w:divsChild>
                        <w:div w:id="1371494079">
                          <w:marLeft w:val="0"/>
                          <w:marRight w:val="0"/>
                          <w:marTop w:val="0"/>
                          <w:marBottom w:val="0"/>
                          <w:divBdr>
                            <w:top w:val="none" w:sz="0" w:space="0" w:color="auto"/>
                            <w:left w:val="none" w:sz="0" w:space="0" w:color="auto"/>
                            <w:bottom w:val="none" w:sz="0" w:space="0" w:color="auto"/>
                            <w:right w:val="none" w:sz="0" w:space="0" w:color="auto"/>
                          </w:divBdr>
                          <w:divsChild>
                            <w:div w:id="1294671930">
                              <w:marLeft w:val="0"/>
                              <w:marRight w:val="0"/>
                              <w:marTop w:val="0"/>
                              <w:marBottom w:val="0"/>
                              <w:divBdr>
                                <w:top w:val="none" w:sz="0" w:space="0" w:color="auto"/>
                                <w:left w:val="double" w:sz="12" w:space="7" w:color="3B3B3B"/>
                                <w:bottom w:val="double" w:sz="12" w:space="7" w:color="3B3B3B"/>
                                <w:right w:val="double" w:sz="12" w:space="7" w:color="3B3B3B"/>
                              </w:divBdr>
                              <w:divsChild>
                                <w:div w:id="1732777083">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1549413085">
      <w:bodyDiv w:val="1"/>
      <w:marLeft w:val="0"/>
      <w:marRight w:val="0"/>
      <w:marTop w:val="0"/>
      <w:marBottom w:val="0"/>
      <w:divBdr>
        <w:top w:val="none" w:sz="0" w:space="0" w:color="auto"/>
        <w:left w:val="none" w:sz="0" w:space="0" w:color="auto"/>
        <w:bottom w:val="none" w:sz="0" w:space="0" w:color="auto"/>
        <w:right w:val="none" w:sz="0" w:space="0" w:color="auto"/>
      </w:divBdr>
      <w:divsChild>
        <w:div w:id="139225845">
          <w:marLeft w:val="0"/>
          <w:marRight w:val="0"/>
          <w:marTop w:val="68"/>
          <w:marBottom w:val="119"/>
          <w:divBdr>
            <w:top w:val="none" w:sz="0" w:space="0" w:color="auto"/>
            <w:left w:val="none" w:sz="0" w:space="0" w:color="auto"/>
            <w:bottom w:val="none" w:sz="0" w:space="0" w:color="auto"/>
            <w:right w:val="none" w:sz="0" w:space="0" w:color="auto"/>
          </w:divBdr>
          <w:divsChild>
            <w:div w:id="700790891">
              <w:marLeft w:val="0"/>
              <w:marRight w:val="0"/>
              <w:marTop w:val="0"/>
              <w:marBottom w:val="0"/>
              <w:divBdr>
                <w:top w:val="none" w:sz="0" w:space="0" w:color="auto"/>
                <w:left w:val="none" w:sz="0" w:space="0" w:color="auto"/>
                <w:bottom w:val="none" w:sz="0" w:space="0" w:color="auto"/>
                <w:right w:val="none" w:sz="0" w:space="0" w:color="auto"/>
              </w:divBdr>
              <w:divsChild>
                <w:div w:id="2103529916">
                  <w:marLeft w:val="0"/>
                  <w:marRight w:val="0"/>
                  <w:marTop w:val="0"/>
                  <w:marBottom w:val="0"/>
                  <w:divBdr>
                    <w:top w:val="none" w:sz="0" w:space="0" w:color="auto"/>
                    <w:left w:val="none" w:sz="0" w:space="0" w:color="auto"/>
                    <w:bottom w:val="none" w:sz="0" w:space="0" w:color="auto"/>
                    <w:right w:val="none" w:sz="0" w:space="0" w:color="auto"/>
                  </w:divBdr>
                  <w:divsChild>
                    <w:div w:id="281032791">
                      <w:marLeft w:val="0"/>
                      <w:marRight w:val="0"/>
                      <w:marTop w:val="0"/>
                      <w:marBottom w:val="0"/>
                      <w:divBdr>
                        <w:top w:val="none" w:sz="0" w:space="0" w:color="auto"/>
                        <w:left w:val="none" w:sz="0" w:space="0" w:color="auto"/>
                        <w:bottom w:val="none" w:sz="0" w:space="0" w:color="auto"/>
                        <w:right w:val="none" w:sz="0" w:space="0" w:color="auto"/>
                      </w:divBdr>
                      <w:divsChild>
                        <w:div w:id="1143354856">
                          <w:marLeft w:val="0"/>
                          <w:marRight w:val="0"/>
                          <w:marTop w:val="0"/>
                          <w:marBottom w:val="0"/>
                          <w:divBdr>
                            <w:top w:val="none" w:sz="0" w:space="0" w:color="auto"/>
                            <w:left w:val="none" w:sz="0" w:space="0" w:color="auto"/>
                            <w:bottom w:val="none" w:sz="0" w:space="0" w:color="auto"/>
                            <w:right w:val="none" w:sz="0" w:space="0" w:color="auto"/>
                          </w:divBdr>
                          <w:divsChild>
                            <w:div w:id="1325008374">
                              <w:marLeft w:val="0"/>
                              <w:marRight w:val="0"/>
                              <w:marTop w:val="0"/>
                              <w:marBottom w:val="0"/>
                              <w:divBdr>
                                <w:top w:val="none" w:sz="0" w:space="0" w:color="auto"/>
                                <w:left w:val="double" w:sz="12" w:space="7" w:color="3B3B3B"/>
                                <w:bottom w:val="double" w:sz="12" w:space="7" w:color="3B3B3B"/>
                                <w:right w:val="double" w:sz="12" w:space="7" w:color="3B3B3B"/>
                              </w:divBdr>
                              <w:divsChild>
                                <w:div w:id="1253708229">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1620606135">
      <w:bodyDiv w:val="1"/>
      <w:marLeft w:val="0"/>
      <w:marRight w:val="0"/>
      <w:marTop w:val="0"/>
      <w:marBottom w:val="0"/>
      <w:divBdr>
        <w:top w:val="none" w:sz="0" w:space="0" w:color="auto"/>
        <w:left w:val="none" w:sz="0" w:space="0" w:color="auto"/>
        <w:bottom w:val="none" w:sz="0" w:space="0" w:color="auto"/>
        <w:right w:val="none" w:sz="0" w:space="0" w:color="auto"/>
      </w:divBdr>
      <w:divsChild>
        <w:div w:id="1073166706">
          <w:marLeft w:val="0"/>
          <w:marRight w:val="0"/>
          <w:marTop w:val="68"/>
          <w:marBottom w:val="119"/>
          <w:divBdr>
            <w:top w:val="none" w:sz="0" w:space="0" w:color="auto"/>
            <w:left w:val="none" w:sz="0" w:space="0" w:color="auto"/>
            <w:bottom w:val="none" w:sz="0" w:space="0" w:color="auto"/>
            <w:right w:val="none" w:sz="0" w:space="0" w:color="auto"/>
          </w:divBdr>
          <w:divsChild>
            <w:div w:id="1860510577">
              <w:marLeft w:val="0"/>
              <w:marRight w:val="0"/>
              <w:marTop w:val="0"/>
              <w:marBottom w:val="0"/>
              <w:divBdr>
                <w:top w:val="none" w:sz="0" w:space="0" w:color="auto"/>
                <w:left w:val="none" w:sz="0" w:space="0" w:color="auto"/>
                <w:bottom w:val="none" w:sz="0" w:space="0" w:color="auto"/>
                <w:right w:val="none" w:sz="0" w:space="0" w:color="auto"/>
              </w:divBdr>
              <w:divsChild>
                <w:div w:id="482157246">
                  <w:marLeft w:val="0"/>
                  <w:marRight w:val="0"/>
                  <w:marTop w:val="0"/>
                  <w:marBottom w:val="0"/>
                  <w:divBdr>
                    <w:top w:val="none" w:sz="0" w:space="0" w:color="auto"/>
                    <w:left w:val="none" w:sz="0" w:space="0" w:color="auto"/>
                    <w:bottom w:val="none" w:sz="0" w:space="0" w:color="auto"/>
                    <w:right w:val="none" w:sz="0" w:space="0" w:color="auto"/>
                  </w:divBdr>
                  <w:divsChild>
                    <w:div w:id="1858229288">
                      <w:marLeft w:val="0"/>
                      <w:marRight w:val="0"/>
                      <w:marTop w:val="0"/>
                      <w:marBottom w:val="0"/>
                      <w:divBdr>
                        <w:top w:val="none" w:sz="0" w:space="0" w:color="auto"/>
                        <w:left w:val="none" w:sz="0" w:space="0" w:color="auto"/>
                        <w:bottom w:val="none" w:sz="0" w:space="0" w:color="auto"/>
                        <w:right w:val="none" w:sz="0" w:space="0" w:color="auto"/>
                      </w:divBdr>
                      <w:divsChild>
                        <w:div w:id="111170996">
                          <w:marLeft w:val="0"/>
                          <w:marRight w:val="0"/>
                          <w:marTop w:val="0"/>
                          <w:marBottom w:val="0"/>
                          <w:divBdr>
                            <w:top w:val="none" w:sz="0" w:space="0" w:color="auto"/>
                            <w:left w:val="none" w:sz="0" w:space="0" w:color="auto"/>
                            <w:bottom w:val="none" w:sz="0" w:space="0" w:color="auto"/>
                            <w:right w:val="none" w:sz="0" w:space="0" w:color="auto"/>
                          </w:divBdr>
                          <w:divsChild>
                            <w:div w:id="636109422">
                              <w:marLeft w:val="0"/>
                              <w:marRight w:val="0"/>
                              <w:marTop w:val="0"/>
                              <w:marBottom w:val="0"/>
                              <w:divBdr>
                                <w:top w:val="none" w:sz="0" w:space="0" w:color="auto"/>
                                <w:left w:val="double" w:sz="12" w:space="7" w:color="3B3B3B"/>
                                <w:bottom w:val="double" w:sz="12" w:space="7" w:color="3B3B3B"/>
                                <w:right w:val="double" w:sz="12" w:space="7" w:color="3B3B3B"/>
                              </w:divBdr>
                              <w:divsChild>
                                <w:div w:id="231307367">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1672368868">
      <w:bodyDiv w:val="1"/>
      <w:marLeft w:val="0"/>
      <w:marRight w:val="0"/>
      <w:marTop w:val="0"/>
      <w:marBottom w:val="0"/>
      <w:divBdr>
        <w:top w:val="none" w:sz="0" w:space="0" w:color="auto"/>
        <w:left w:val="none" w:sz="0" w:space="0" w:color="auto"/>
        <w:bottom w:val="none" w:sz="0" w:space="0" w:color="auto"/>
        <w:right w:val="none" w:sz="0" w:space="0" w:color="auto"/>
      </w:divBdr>
      <w:divsChild>
        <w:div w:id="1360547554">
          <w:marLeft w:val="0"/>
          <w:marRight w:val="0"/>
          <w:marTop w:val="68"/>
          <w:marBottom w:val="119"/>
          <w:divBdr>
            <w:top w:val="none" w:sz="0" w:space="0" w:color="auto"/>
            <w:left w:val="none" w:sz="0" w:space="0" w:color="auto"/>
            <w:bottom w:val="none" w:sz="0" w:space="0" w:color="auto"/>
            <w:right w:val="none" w:sz="0" w:space="0" w:color="auto"/>
          </w:divBdr>
          <w:divsChild>
            <w:div w:id="176164747">
              <w:marLeft w:val="0"/>
              <w:marRight w:val="0"/>
              <w:marTop w:val="0"/>
              <w:marBottom w:val="0"/>
              <w:divBdr>
                <w:top w:val="none" w:sz="0" w:space="0" w:color="auto"/>
                <w:left w:val="none" w:sz="0" w:space="0" w:color="auto"/>
                <w:bottom w:val="none" w:sz="0" w:space="0" w:color="auto"/>
                <w:right w:val="none" w:sz="0" w:space="0" w:color="auto"/>
              </w:divBdr>
              <w:divsChild>
                <w:div w:id="1937981001">
                  <w:marLeft w:val="0"/>
                  <w:marRight w:val="0"/>
                  <w:marTop w:val="0"/>
                  <w:marBottom w:val="0"/>
                  <w:divBdr>
                    <w:top w:val="none" w:sz="0" w:space="0" w:color="auto"/>
                    <w:left w:val="none" w:sz="0" w:space="0" w:color="auto"/>
                    <w:bottom w:val="none" w:sz="0" w:space="0" w:color="auto"/>
                    <w:right w:val="none" w:sz="0" w:space="0" w:color="auto"/>
                  </w:divBdr>
                  <w:divsChild>
                    <w:div w:id="1456680950">
                      <w:marLeft w:val="0"/>
                      <w:marRight w:val="0"/>
                      <w:marTop w:val="0"/>
                      <w:marBottom w:val="0"/>
                      <w:divBdr>
                        <w:top w:val="none" w:sz="0" w:space="0" w:color="auto"/>
                        <w:left w:val="none" w:sz="0" w:space="0" w:color="auto"/>
                        <w:bottom w:val="none" w:sz="0" w:space="0" w:color="auto"/>
                        <w:right w:val="none" w:sz="0" w:space="0" w:color="auto"/>
                      </w:divBdr>
                      <w:divsChild>
                        <w:div w:id="2057775189">
                          <w:marLeft w:val="0"/>
                          <w:marRight w:val="0"/>
                          <w:marTop w:val="0"/>
                          <w:marBottom w:val="0"/>
                          <w:divBdr>
                            <w:top w:val="none" w:sz="0" w:space="0" w:color="auto"/>
                            <w:left w:val="none" w:sz="0" w:space="0" w:color="auto"/>
                            <w:bottom w:val="none" w:sz="0" w:space="0" w:color="auto"/>
                            <w:right w:val="none" w:sz="0" w:space="0" w:color="auto"/>
                          </w:divBdr>
                          <w:divsChild>
                            <w:div w:id="1727021294">
                              <w:marLeft w:val="0"/>
                              <w:marRight w:val="0"/>
                              <w:marTop w:val="0"/>
                              <w:marBottom w:val="0"/>
                              <w:divBdr>
                                <w:top w:val="none" w:sz="0" w:space="0" w:color="auto"/>
                                <w:left w:val="double" w:sz="12" w:space="7" w:color="3B3B3B"/>
                                <w:bottom w:val="double" w:sz="12" w:space="7" w:color="3B3B3B"/>
                                <w:right w:val="double" w:sz="12" w:space="7" w:color="3B3B3B"/>
                              </w:divBdr>
                              <w:divsChild>
                                <w:div w:id="2105421950">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1705524139">
      <w:bodyDiv w:val="1"/>
      <w:marLeft w:val="0"/>
      <w:marRight w:val="0"/>
      <w:marTop w:val="0"/>
      <w:marBottom w:val="0"/>
      <w:divBdr>
        <w:top w:val="none" w:sz="0" w:space="0" w:color="auto"/>
        <w:left w:val="none" w:sz="0" w:space="0" w:color="auto"/>
        <w:bottom w:val="none" w:sz="0" w:space="0" w:color="auto"/>
        <w:right w:val="none" w:sz="0" w:space="0" w:color="auto"/>
      </w:divBdr>
      <w:divsChild>
        <w:div w:id="943918954">
          <w:marLeft w:val="0"/>
          <w:marRight w:val="0"/>
          <w:marTop w:val="68"/>
          <w:marBottom w:val="119"/>
          <w:divBdr>
            <w:top w:val="none" w:sz="0" w:space="0" w:color="auto"/>
            <w:left w:val="none" w:sz="0" w:space="0" w:color="auto"/>
            <w:bottom w:val="none" w:sz="0" w:space="0" w:color="auto"/>
            <w:right w:val="none" w:sz="0" w:space="0" w:color="auto"/>
          </w:divBdr>
          <w:divsChild>
            <w:div w:id="328480276">
              <w:marLeft w:val="0"/>
              <w:marRight w:val="0"/>
              <w:marTop w:val="0"/>
              <w:marBottom w:val="0"/>
              <w:divBdr>
                <w:top w:val="none" w:sz="0" w:space="0" w:color="auto"/>
                <w:left w:val="none" w:sz="0" w:space="0" w:color="auto"/>
                <w:bottom w:val="none" w:sz="0" w:space="0" w:color="auto"/>
                <w:right w:val="none" w:sz="0" w:space="0" w:color="auto"/>
              </w:divBdr>
              <w:divsChild>
                <w:div w:id="2001620724">
                  <w:marLeft w:val="0"/>
                  <w:marRight w:val="0"/>
                  <w:marTop w:val="0"/>
                  <w:marBottom w:val="0"/>
                  <w:divBdr>
                    <w:top w:val="none" w:sz="0" w:space="0" w:color="auto"/>
                    <w:left w:val="none" w:sz="0" w:space="0" w:color="auto"/>
                    <w:bottom w:val="none" w:sz="0" w:space="0" w:color="auto"/>
                    <w:right w:val="none" w:sz="0" w:space="0" w:color="auto"/>
                  </w:divBdr>
                  <w:divsChild>
                    <w:div w:id="953024825">
                      <w:marLeft w:val="0"/>
                      <w:marRight w:val="0"/>
                      <w:marTop w:val="0"/>
                      <w:marBottom w:val="0"/>
                      <w:divBdr>
                        <w:top w:val="none" w:sz="0" w:space="0" w:color="auto"/>
                        <w:left w:val="none" w:sz="0" w:space="0" w:color="auto"/>
                        <w:bottom w:val="none" w:sz="0" w:space="0" w:color="auto"/>
                        <w:right w:val="none" w:sz="0" w:space="0" w:color="auto"/>
                      </w:divBdr>
                      <w:divsChild>
                        <w:div w:id="1540430351">
                          <w:marLeft w:val="0"/>
                          <w:marRight w:val="0"/>
                          <w:marTop w:val="0"/>
                          <w:marBottom w:val="0"/>
                          <w:divBdr>
                            <w:top w:val="none" w:sz="0" w:space="0" w:color="auto"/>
                            <w:left w:val="none" w:sz="0" w:space="0" w:color="auto"/>
                            <w:bottom w:val="none" w:sz="0" w:space="0" w:color="auto"/>
                            <w:right w:val="none" w:sz="0" w:space="0" w:color="auto"/>
                          </w:divBdr>
                          <w:divsChild>
                            <w:div w:id="728916618">
                              <w:marLeft w:val="0"/>
                              <w:marRight w:val="0"/>
                              <w:marTop w:val="0"/>
                              <w:marBottom w:val="0"/>
                              <w:divBdr>
                                <w:top w:val="none" w:sz="0" w:space="0" w:color="auto"/>
                                <w:left w:val="double" w:sz="12" w:space="7" w:color="3B3B3B"/>
                                <w:bottom w:val="double" w:sz="12" w:space="7" w:color="3B3B3B"/>
                                <w:right w:val="double" w:sz="12" w:space="7" w:color="3B3B3B"/>
                              </w:divBdr>
                              <w:divsChild>
                                <w:div w:id="1321886074">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1972710450">
      <w:bodyDiv w:val="1"/>
      <w:marLeft w:val="0"/>
      <w:marRight w:val="0"/>
      <w:marTop w:val="0"/>
      <w:marBottom w:val="0"/>
      <w:divBdr>
        <w:top w:val="none" w:sz="0" w:space="0" w:color="auto"/>
        <w:left w:val="none" w:sz="0" w:space="0" w:color="auto"/>
        <w:bottom w:val="none" w:sz="0" w:space="0" w:color="auto"/>
        <w:right w:val="none" w:sz="0" w:space="0" w:color="auto"/>
      </w:divBdr>
      <w:divsChild>
        <w:div w:id="2044937497">
          <w:marLeft w:val="0"/>
          <w:marRight w:val="0"/>
          <w:marTop w:val="68"/>
          <w:marBottom w:val="119"/>
          <w:divBdr>
            <w:top w:val="none" w:sz="0" w:space="0" w:color="auto"/>
            <w:left w:val="none" w:sz="0" w:space="0" w:color="auto"/>
            <w:bottom w:val="none" w:sz="0" w:space="0" w:color="auto"/>
            <w:right w:val="none" w:sz="0" w:space="0" w:color="auto"/>
          </w:divBdr>
          <w:divsChild>
            <w:div w:id="2041583137">
              <w:marLeft w:val="0"/>
              <w:marRight w:val="0"/>
              <w:marTop w:val="0"/>
              <w:marBottom w:val="0"/>
              <w:divBdr>
                <w:top w:val="none" w:sz="0" w:space="0" w:color="auto"/>
                <w:left w:val="none" w:sz="0" w:space="0" w:color="auto"/>
                <w:bottom w:val="none" w:sz="0" w:space="0" w:color="auto"/>
                <w:right w:val="none" w:sz="0" w:space="0" w:color="auto"/>
              </w:divBdr>
              <w:divsChild>
                <w:div w:id="1118646632">
                  <w:marLeft w:val="0"/>
                  <w:marRight w:val="0"/>
                  <w:marTop w:val="0"/>
                  <w:marBottom w:val="0"/>
                  <w:divBdr>
                    <w:top w:val="none" w:sz="0" w:space="0" w:color="auto"/>
                    <w:left w:val="none" w:sz="0" w:space="0" w:color="auto"/>
                    <w:bottom w:val="none" w:sz="0" w:space="0" w:color="auto"/>
                    <w:right w:val="none" w:sz="0" w:space="0" w:color="auto"/>
                  </w:divBdr>
                  <w:divsChild>
                    <w:div w:id="1391033067">
                      <w:marLeft w:val="0"/>
                      <w:marRight w:val="0"/>
                      <w:marTop w:val="0"/>
                      <w:marBottom w:val="0"/>
                      <w:divBdr>
                        <w:top w:val="none" w:sz="0" w:space="0" w:color="auto"/>
                        <w:left w:val="none" w:sz="0" w:space="0" w:color="auto"/>
                        <w:bottom w:val="none" w:sz="0" w:space="0" w:color="auto"/>
                        <w:right w:val="none" w:sz="0" w:space="0" w:color="auto"/>
                      </w:divBdr>
                      <w:divsChild>
                        <w:div w:id="1523864087">
                          <w:marLeft w:val="0"/>
                          <w:marRight w:val="0"/>
                          <w:marTop w:val="0"/>
                          <w:marBottom w:val="0"/>
                          <w:divBdr>
                            <w:top w:val="none" w:sz="0" w:space="0" w:color="auto"/>
                            <w:left w:val="none" w:sz="0" w:space="0" w:color="auto"/>
                            <w:bottom w:val="none" w:sz="0" w:space="0" w:color="auto"/>
                            <w:right w:val="none" w:sz="0" w:space="0" w:color="auto"/>
                          </w:divBdr>
                          <w:divsChild>
                            <w:div w:id="1829200775">
                              <w:marLeft w:val="0"/>
                              <w:marRight w:val="0"/>
                              <w:marTop w:val="0"/>
                              <w:marBottom w:val="0"/>
                              <w:divBdr>
                                <w:top w:val="none" w:sz="0" w:space="0" w:color="auto"/>
                                <w:left w:val="double" w:sz="12" w:space="7" w:color="3B3B3B"/>
                                <w:bottom w:val="double" w:sz="12" w:space="7" w:color="3B3B3B"/>
                                <w:right w:val="double" w:sz="12" w:space="7" w:color="3B3B3B"/>
                              </w:divBdr>
                              <w:divsChild>
                                <w:div w:id="478764074">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1977375077">
      <w:bodyDiv w:val="1"/>
      <w:marLeft w:val="0"/>
      <w:marRight w:val="0"/>
      <w:marTop w:val="0"/>
      <w:marBottom w:val="0"/>
      <w:divBdr>
        <w:top w:val="none" w:sz="0" w:space="0" w:color="auto"/>
        <w:left w:val="none" w:sz="0" w:space="0" w:color="auto"/>
        <w:bottom w:val="none" w:sz="0" w:space="0" w:color="auto"/>
        <w:right w:val="none" w:sz="0" w:space="0" w:color="auto"/>
      </w:divBdr>
      <w:divsChild>
        <w:div w:id="1974095887">
          <w:marLeft w:val="0"/>
          <w:marRight w:val="0"/>
          <w:marTop w:val="68"/>
          <w:marBottom w:val="119"/>
          <w:divBdr>
            <w:top w:val="none" w:sz="0" w:space="0" w:color="auto"/>
            <w:left w:val="none" w:sz="0" w:space="0" w:color="auto"/>
            <w:bottom w:val="none" w:sz="0" w:space="0" w:color="auto"/>
            <w:right w:val="none" w:sz="0" w:space="0" w:color="auto"/>
          </w:divBdr>
          <w:divsChild>
            <w:div w:id="355540847">
              <w:marLeft w:val="0"/>
              <w:marRight w:val="0"/>
              <w:marTop w:val="0"/>
              <w:marBottom w:val="0"/>
              <w:divBdr>
                <w:top w:val="none" w:sz="0" w:space="0" w:color="auto"/>
                <w:left w:val="none" w:sz="0" w:space="0" w:color="auto"/>
                <w:bottom w:val="none" w:sz="0" w:space="0" w:color="auto"/>
                <w:right w:val="none" w:sz="0" w:space="0" w:color="auto"/>
              </w:divBdr>
              <w:divsChild>
                <w:div w:id="707296001">
                  <w:marLeft w:val="0"/>
                  <w:marRight w:val="0"/>
                  <w:marTop w:val="0"/>
                  <w:marBottom w:val="0"/>
                  <w:divBdr>
                    <w:top w:val="none" w:sz="0" w:space="0" w:color="auto"/>
                    <w:left w:val="none" w:sz="0" w:space="0" w:color="auto"/>
                    <w:bottom w:val="none" w:sz="0" w:space="0" w:color="auto"/>
                    <w:right w:val="none" w:sz="0" w:space="0" w:color="auto"/>
                  </w:divBdr>
                  <w:divsChild>
                    <w:div w:id="1026562601">
                      <w:marLeft w:val="0"/>
                      <w:marRight w:val="0"/>
                      <w:marTop w:val="0"/>
                      <w:marBottom w:val="0"/>
                      <w:divBdr>
                        <w:top w:val="none" w:sz="0" w:space="0" w:color="auto"/>
                        <w:left w:val="none" w:sz="0" w:space="0" w:color="auto"/>
                        <w:bottom w:val="none" w:sz="0" w:space="0" w:color="auto"/>
                        <w:right w:val="none" w:sz="0" w:space="0" w:color="auto"/>
                      </w:divBdr>
                      <w:divsChild>
                        <w:div w:id="1711566370">
                          <w:marLeft w:val="0"/>
                          <w:marRight w:val="0"/>
                          <w:marTop w:val="0"/>
                          <w:marBottom w:val="0"/>
                          <w:divBdr>
                            <w:top w:val="none" w:sz="0" w:space="0" w:color="auto"/>
                            <w:left w:val="none" w:sz="0" w:space="0" w:color="auto"/>
                            <w:bottom w:val="none" w:sz="0" w:space="0" w:color="auto"/>
                            <w:right w:val="none" w:sz="0" w:space="0" w:color="auto"/>
                          </w:divBdr>
                          <w:divsChild>
                            <w:div w:id="241108281">
                              <w:marLeft w:val="0"/>
                              <w:marRight w:val="0"/>
                              <w:marTop w:val="0"/>
                              <w:marBottom w:val="0"/>
                              <w:divBdr>
                                <w:top w:val="none" w:sz="0" w:space="0" w:color="auto"/>
                                <w:left w:val="double" w:sz="12" w:space="7" w:color="3B3B3B"/>
                                <w:bottom w:val="double" w:sz="12" w:space="7" w:color="3B3B3B"/>
                                <w:right w:val="double" w:sz="12" w:space="7" w:color="3B3B3B"/>
                              </w:divBdr>
                              <w:divsChild>
                                <w:div w:id="629212070">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1994673999">
      <w:bodyDiv w:val="1"/>
      <w:marLeft w:val="0"/>
      <w:marRight w:val="0"/>
      <w:marTop w:val="0"/>
      <w:marBottom w:val="0"/>
      <w:divBdr>
        <w:top w:val="none" w:sz="0" w:space="0" w:color="auto"/>
        <w:left w:val="none" w:sz="0" w:space="0" w:color="auto"/>
        <w:bottom w:val="none" w:sz="0" w:space="0" w:color="auto"/>
        <w:right w:val="none" w:sz="0" w:space="0" w:color="auto"/>
      </w:divBdr>
      <w:divsChild>
        <w:div w:id="1145857858">
          <w:marLeft w:val="0"/>
          <w:marRight w:val="0"/>
          <w:marTop w:val="68"/>
          <w:marBottom w:val="119"/>
          <w:divBdr>
            <w:top w:val="none" w:sz="0" w:space="0" w:color="auto"/>
            <w:left w:val="none" w:sz="0" w:space="0" w:color="auto"/>
            <w:bottom w:val="none" w:sz="0" w:space="0" w:color="auto"/>
            <w:right w:val="none" w:sz="0" w:space="0" w:color="auto"/>
          </w:divBdr>
          <w:divsChild>
            <w:div w:id="942421084">
              <w:marLeft w:val="0"/>
              <w:marRight w:val="0"/>
              <w:marTop w:val="0"/>
              <w:marBottom w:val="0"/>
              <w:divBdr>
                <w:top w:val="none" w:sz="0" w:space="0" w:color="auto"/>
                <w:left w:val="none" w:sz="0" w:space="0" w:color="auto"/>
                <w:bottom w:val="none" w:sz="0" w:space="0" w:color="auto"/>
                <w:right w:val="none" w:sz="0" w:space="0" w:color="auto"/>
              </w:divBdr>
              <w:divsChild>
                <w:div w:id="753478427">
                  <w:marLeft w:val="0"/>
                  <w:marRight w:val="0"/>
                  <w:marTop w:val="0"/>
                  <w:marBottom w:val="0"/>
                  <w:divBdr>
                    <w:top w:val="none" w:sz="0" w:space="0" w:color="auto"/>
                    <w:left w:val="none" w:sz="0" w:space="0" w:color="auto"/>
                    <w:bottom w:val="none" w:sz="0" w:space="0" w:color="auto"/>
                    <w:right w:val="none" w:sz="0" w:space="0" w:color="auto"/>
                  </w:divBdr>
                  <w:divsChild>
                    <w:div w:id="2778941">
                      <w:marLeft w:val="0"/>
                      <w:marRight w:val="0"/>
                      <w:marTop w:val="0"/>
                      <w:marBottom w:val="0"/>
                      <w:divBdr>
                        <w:top w:val="none" w:sz="0" w:space="0" w:color="auto"/>
                        <w:left w:val="none" w:sz="0" w:space="0" w:color="auto"/>
                        <w:bottom w:val="none" w:sz="0" w:space="0" w:color="auto"/>
                        <w:right w:val="none" w:sz="0" w:space="0" w:color="auto"/>
                      </w:divBdr>
                      <w:divsChild>
                        <w:div w:id="1864049473">
                          <w:marLeft w:val="0"/>
                          <w:marRight w:val="0"/>
                          <w:marTop w:val="0"/>
                          <w:marBottom w:val="0"/>
                          <w:divBdr>
                            <w:top w:val="none" w:sz="0" w:space="0" w:color="auto"/>
                            <w:left w:val="none" w:sz="0" w:space="0" w:color="auto"/>
                            <w:bottom w:val="none" w:sz="0" w:space="0" w:color="auto"/>
                            <w:right w:val="none" w:sz="0" w:space="0" w:color="auto"/>
                          </w:divBdr>
                          <w:divsChild>
                            <w:div w:id="6686109">
                              <w:marLeft w:val="0"/>
                              <w:marRight w:val="0"/>
                              <w:marTop w:val="0"/>
                              <w:marBottom w:val="0"/>
                              <w:divBdr>
                                <w:top w:val="none" w:sz="0" w:space="0" w:color="auto"/>
                                <w:left w:val="double" w:sz="12" w:space="7" w:color="3B3B3B"/>
                                <w:bottom w:val="double" w:sz="12" w:space="7" w:color="3B3B3B"/>
                                <w:right w:val="double" w:sz="12" w:space="7" w:color="3B3B3B"/>
                              </w:divBdr>
                              <w:divsChild>
                                <w:div w:id="1641953954">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 w:id="2030526608">
      <w:bodyDiv w:val="1"/>
      <w:marLeft w:val="0"/>
      <w:marRight w:val="0"/>
      <w:marTop w:val="0"/>
      <w:marBottom w:val="0"/>
      <w:divBdr>
        <w:top w:val="none" w:sz="0" w:space="0" w:color="auto"/>
        <w:left w:val="none" w:sz="0" w:space="0" w:color="auto"/>
        <w:bottom w:val="none" w:sz="0" w:space="0" w:color="auto"/>
        <w:right w:val="none" w:sz="0" w:space="0" w:color="auto"/>
      </w:divBdr>
      <w:divsChild>
        <w:div w:id="502668647">
          <w:marLeft w:val="0"/>
          <w:marRight w:val="0"/>
          <w:marTop w:val="68"/>
          <w:marBottom w:val="119"/>
          <w:divBdr>
            <w:top w:val="none" w:sz="0" w:space="0" w:color="auto"/>
            <w:left w:val="none" w:sz="0" w:space="0" w:color="auto"/>
            <w:bottom w:val="none" w:sz="0" w:space="0" w:color="auto"/>
            <w:right w:val="none" w:sz="0" w:space="0" w:color="auto"/>
          </w:divBdr>
          <w:divsChild>
            <w:div w:id="1386027908">
              <w:marLeft w:val="0"/>
              <w:marRight w:val="0"/>
              <w:marTop w:val="0"/>
              <w:marBottom w:val="0"/>
              <w:divBdr>
                <w:top w:val="none" w:sz="0" w:space="0" w:color="auto"/>
                <w:left w:val="none" w:sz="0" w:space="0" w:color="auto"/>
                <w:bottom w:val="none" w:sz="0" w:space="0" w:color="auto"/>
                <w:right w:val="none" w:sz="0" w:space="0" w:color="auto"/>
              </w:divBdr>
              <w:divsChild>
                <w:div w:id="1616056263">
                  <w:marLeft w:val="0"/>
                  <w:marRight w:val="0"/>
                  <w:marTop w:val="0"/>
                  <w:marBottom w:val="0"/>
                  <w:divBdr>
                    <w:top w:val="none" w:sz="0" w:space="0" w:color="auto"/>
                    <w:left w:val="none" w:sz="0" w:space="0" w:color="auto"/>
                    <w:bottom w:val="none" w:sz="0" w:space="0" w:color="auto"/>
                    <w:right w:val="none" w:sz="0" w:space="0" w:color="auto"/>
                  </w:divBdr>
                  <w:divsChild>
                    <w:div w:id="1602255369">
                      <w:marLeft w:val="0"/>
                      <w:marRight w:val="0"/>
                      <w:marTop w:val="0"/>
                      <w:marBottom w:val="0"/>
                      <w:divBdr>
                        <w:top w:val="none" w:sz="0" w:space="0" w:color="auto"/>
                        <w:left w:val="none" w:sz="0" w:space="0" w:color="auto"/>
                        <w:bottom w:val="none" w:sz="0" w:space="0" w:color="auto"/>
                        <w:right w:val="none" w:sz="0" w:space="0" w:color="auto"/>
                      </w:divBdr>
                      <w:divsChild>
                        <w:div w:id="1216894497">
                          <w:marLeft w:val="0"/>
                          <w:marRight w:val="0"/>
                          <w:marTop w:val="0"/>
                          <w:marBottom w:val="0"/>
                          <w:divBdr>
                            <w:top w:val="none" w:sz="0" w:space="0" w:color="auto"/>
                            <w:left w:val="none" w:sz="0" w:space="0" w:color="auto"/>
                            <w:bottom w:val="none" w:sz="0" w:space="0" w:color="auto"/>
                            <w:right w:val="none" w:sz="0" w:space="0" w:color="auto"/>
                          </w:divBdr>
                          <w:divsChild>
                            <w:div w:id="1234856062">
                              <w:marLeft w:val="0"/>
                              <w:marRight w:val="0"/>
                              <w:marTop w:val="0"/>
                              <w:marBottom w:val="0"/>
                              <w:divBdr>
                                <w:top w:val="none" w:sz="0" w:space="0" w:color="auto"/>
                                <w:left w:val="double" w:sz="12" w:space="7" w:color="3B3B3B"/>
                                <w:bottom w:val="double" w:sz="12" w:space="7" w:color="3B3B3B"/>
                                <w:right w:val="double" w:sz="12" w:space="7" w:color="3B3B3B"/>
                              </w:divBdr>
                              <w:divsChild>
                                <w:div w:id="207376872">
                                  <w:marLeft w:val="0"/>
                                  <w:marRight w:val="0"/>
                                  <w:marTop w:val="0"/>
                                  <w:marBottom w:val="0"/>
                                  <w:divBdr>
                                    <w:top w:val="single" w:sz="6" w:space="7" w:color="6F6F6F"/>
                                    <w:left w:val="single" w:sz="6" w:space="7" w:color="6F6F6F"/>
                                    <w:bottom w:val="single" w:sz="6" w:space="7" w:color="6F6F6F"/>
                                    <w:right w:val="single" w:sz="6" w:space="7" w:color="6F6F6F"/>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B7C54-DB3D-4AC7-841E-BC2BF711B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2698</TotalTime>
  <Pages>28</Pages>
  <Words>11247</Words>
  <Characters>60740</Characters>
  <Application>Microsoft Office Word</Application>
  <DocSecurity>0</DocSecurity>
  <Lines>506</Lines>
  <Paragraphs>143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71844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Manolis</dc:creator>
  <cp:keywords/>
  <dc:description/>
  <cp:lastModifiedBy>Manolis</cp:lastModifiedBy>
  <cp:revision>175</cp:revision>
  <cp:lastPrinted>2009-11-26T16:10:00Z</cp:lastPrinted>
  <dcterms:created xsi:type="dcterms:W3CDTF">2009-10-27T15:41:00Z</dcterms:created>
  <dcterms:modified xsi:type="dcterms:W3CDTF">2009-12-13T08:24:00Z</dcterms:modified>
</cp:coreProperties>
</file>